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E9" w:rsidRDefault="00F9353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I.</w:t>
      </w:r>
    </w:p>
    <w:p w:rsidR="00EB60E9" w:rsidRDefault="00F93533">
      <w:pPr>
        <w:rPr>
          <w:b/>
          <w:u w:val="single"/>
        </w:rPr>
      </w:pPr>
      <w:r>
        <w:rPr>
          <w:b/>
          <w:u w:val="single"/>
        </w:rPr>
        <w:t xml:space="preserve">Public </w:t>
      </w:r>
      <w:proofErr w:type="spellStart"/>
      <w:r>
        <w:rPr>
          <w:b/>
          <w:u w:val="single"/>
        </w:rPr>
        <w:t>lending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right</w:t>
      </w:r>
      <w:proofErr w:type="spellEnd"/>
    </w:p>
    <w:p w:rsidR="00EB60E9" w:rsidRDefault="00F93533">
      <w:r>
        <w:rPr>
          <w:i/>
          <w:u w:val="single"/>
        </w:rPr>
        <w:t>Pytanie 1:</w:t>
      </w:r>
      <w:r>
        <w:rPr>
          <w:i/>
        </w:rPr>
        <w:t xml:space="preserve"> Jakie rodzaje bibliotek powinny być objęte w Polsce systemem wynagrodzenia za wypożyczenia biblioteczne i dlaczego?  </w:t>
      </w:r>
    </w:p>
    <w:p w:rsidR="00EB60E9" w:rsidRDefault="00F93533">
      <w:r>
        <w:t xml:space="preserve">Systemem public </w:t>
      </w:r>
      <w:proofErr w:type="spellStart"/>
      <w:r>
        <w:t>lending</w:t>
      </w:r>
      <w:proofErr w:type="spellEnd"/>
      <w:r>
        <w:t xml:space="preserve">  </w:t>
      </w:r>
      <w:proofErr w:type="spellStart"/>
      <w:r>
        <w:t>right</w:t>
      </w:r>
      <w:proofErr w:type="spellEnd"/>
      <w:r>
        <w:t xml:space="preserve"> należy objąć  wszystkie rodzaje bibliotek, bez względu na ich status prawny, cel, misję czy uwarunkowania ekonomiczne.  Nie widzimy podstaw do wyłączenia z tego systemu którejkolwiek biblioteki, zwłaszcza w sytuacji, gdy  </w:t>
      </w:r>
      <w:proofErr w:type="spellStart"/>
      <w:r>
        <w:t>MKiDzN</w:t>
      </w:r>
      <w:proofErr w:type="spellEnd"/>
      <w:r>
        <w:t xml:space="preserve"> przewiduje finansowanie wy</w:t>
      </w:r>
      <w:r>
        <w:t xml:space="preserve">nagrodzenia z tego tytułu z budżetu państwa, a zatem bez obarczania nim bibliotek. </w:t>
      </w:r>
    </w:p>
    <w:p w:rsidR="00EB60E9" w:rsidRDefault="00F93533">
      <w:r>
        <w:rPr>
          <w:u w:val="single"/>
        </w:rPr>
        <w:t>Pytanie 2</w:t>
      </w:r>
      <w:r>
        <w:t xml:space="preserve">: </w:t>
      </w:r>
      <w:r>
        <w:rPr>
          <w:i/>
        </w:rPr>
        <w:t>Czy wynagrodzenie za wypożyczenia biblioteczne powinno dotyczyć jedynie książek, czy powinno również zostać rozszerzone na inne kategorie utworów lub przedmiotów</w:t>
      </w:r>
      <w:r>
        <w:rPr>
          <w:i/>
        </w:rPr>
        <w:t xml:space="preserve"> praw pokrewnych (w tym fonogramy, wideogramy) i dlaczego?</w:t>
      </w:r>
      <w:r>
        <w:t xml:space="preserve"> </w:t>
      </w:r>
    </w:p>
    <w:p w:rsidR="00EB60E9" w:rsidRDefault="00F93533">
      <w:r>
        <w:t>Uważamy, że wynagrodzenia za wypożyczenie biblioteczne winno obejmować wszystkie kategorie utworów i przedmiotów praw pokrewnych, w tym fonogramy i wideogramy, które mogą stanowić przedmiot bezpła</w:t>
      </w:r>
      <w:r>
        <w:t xml:space="preserve">tnych </w:t>
      </w:r>
      <w:proofErr w:type="spellStart"/>
      <w:r>
        <w:t>wypożyczeń</w:t>
      </w:r>
      <w:proofErr w:type="spellEnd"/>
      <w:r>
        <w:t xml:space="preserve"> .  Nie dostrzegamy podstaw do różnicowania pozycji uprawnionych w zależności od kategorii chronionego przedmiotu własności intelektualnej. </w:t>
      </w:r>
    </w:p>
    <w:p w:rsidR="00EB60E9" w:rsidRDefault="00F93533">
      <w:r>
        <w:rPr>
          <w:i/>
          <w:u w:val="single"/>
        </w:rPr>
        <w:t>Pytanie 3</w:t>
      </w:r>
      <w:r>
        <w:rPr>
          <w:i/>
        </w:rPr>
        <w:t xml:space="preserve">: Czy polska regulacja dotycząca public </w:t>
      </w:r>
      <w:proofErr w:type="spellStart"/>
      <w:r>
        <w:rPr>
          <w:i/>
        </w:rPr>
        <w:t>lending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right</w:t>
      </w:r>
      <w:proofErr w:type="spellEnd"/>
      <w:r>
        <w:rPr>
          <w:i/>
        </w:rPr>
        <w:t xml:space="preserve"> powinna objąć również wypożyczenia e</w:t>
      </w:r>
      <w:r>
        <w:rPr>
          <w:i/>
        </w:rPr>
        <w:t>-</w:t>
      </w:r>
      <w:proofErr w:type="spellStart"/>
      <w:r>
        <w:rPr>
          <w:i/>
        </w:rPr>
        <w:t>booków</w:t>
      </w:r>
      <w:proofErr w:type="spellEnd"/>
      <w:r>
        <w:rPr>
          <w:i/>
        </w:rPr>
        <w:t>? Jeśli tak, w jaki sposób wyobrażają sobie Państwo włączenie możliwości wypożyczania e-</w:t>
      </w:r>
      <w:proofErr w:type="spellStart"/>
      <w:r>
        <w:rPr>
          <w:i/>
        </w:rPr>
        <w:t>booków</w:t>
      </w:r>
      <w:proofErr w:type="spellEnd"/>
      <w:r>
        <w:rPr>
          <w:i/>
        </w:rPr>
        <w:t xml:space="preserve"> do przepisów ustawy o prawie autorskim i prawach pokrewnych, zakładając konieczność zachowania jej zgodność z przepisami dyrektywy 2001/29/WE o prawie aut</w:t>
      </w:r>
      <w:r>
        <w:rPr>
          <w:i/>
        </w:rPr>
        <w:t xml:space="preserve">orskim w społeczeństwie informacyjnym? </w:t>
      </w:r>
    </w:p>
    <w:p w:rsidR="00EB60E9" w:rsidRDefault="00F93533">
      <w:r>
        <w:t xml:space="preserve">Mając na uwadze negatywne doświadczenia innych państw członkowskich, które objęły </w:t>
      </w:r>
      <w:proofErr w:type="spellStart"/>
      <w:r>
        <w:t>wypożyczeniami</w:t>
      </w:r>
      <w:proofErr w:type="spellEnd"/>
      <w:r>
        <w:t xml:space="preserve"> również e-</w:t>
      </w:r>
      <w:proofErr w:type="spellStart"/>
      <w:r>
        <w:t>booki</w:t>
      </w:r>
      <w:proofErr w:type="spellEnd"/>
      <w:r>
        <w:t xml:space="preserve"> , uważamy, że za wcześnie jest na włączenie możliwości wypożyczenia e-</w:t>
      </w:r>
      <w:proofErr w:type="spellStart"/>
      <w:r>
        <w:t>booków</w:t>
      </w:r>
      <w:proofErr w:type="spellEnd"/>
      <w:r>
        <w:t xml:space="preserve">. </w:t>
      </w:r>
    </w:p>
    <w:p w:rsidR="00EB60E9" w:rsidRDefault="00F93533">
      <w:r>
        <w:rPr>
          <w:u w:val="single"/>
        </w:rPr>
        <w:t>Pytanie 4</w:t>
      </w:r>
      <w:r>
        <w:t xml:space="preserve">: </w:t>
      </w:r>
      <w:r>
        <w:rPr>
          <w:i/>
        </w:rPr>
        <w:t>Kto, na grunc</w:t>
      </w:r>
      <w:r>
        <w:rPr>
          <w:i/>
        </w:rPr>
        <w:t xml:space="preserve">ie przepisów ustawy o prawie autorskim i prawach pokrewnych, powinien być beneficjentem wynagrodzenia z tytułu public </w:t>
      </w:r>
      <w:proofErr w:type="spellStart"/>
      <w:r>
        <w:rPr>
          <w:i/>
        </w:rPr>
        <w:t>lending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right</w:t>
      </w:r>
      <w:proofErr w:type="spellEnd"/>
      <w:r>
        <w:t xml:space="preserve">? </w:t>
      </w:r>
    </w:p>
    <w:p w:rsidR="00EB60E9" w:rsidRDefault="00F93533">
      <w:r>
        <w:t xml:space="preserve">Naszym zdaniem winno dojść do podziału środków pomiędzy wydawcą/producentem a  autorem/twórcą. </w:t>
      </w:r>
    </w:p>
    <w:p w:rsidR="00EB60E9" w:rsidRDefault="00F93533">
      <w:r>
        <w:rPr>
          <w:u w:val="single"/>
        </w:rPr>
        <w:t>Pytanie 5</w:t>
      </w:r>
      <w:r>
        <w:t xml:space="preserve">: </w:t>
      </w:r>
      <w:r>
        <w:rPr>
          <w:i/>
        </w:rPr>
        <w:t>Czy uznają Pańs</w:t>
      </w:r>
      <w:r>
        <w:rPr>
          <w:i/>
        </w:rPr>
        <w:t xml:space="preserve">two za uzasadnione wprowadzenie ograniczenia wypłaty wynagrodzeń z tytułu public </w:t>
      </w:r>
      <w:proofErr w:type="spellStart"/>
      <w:r>
        <w:rPr>
          <w:i/>
        </w:rPr>
        <w:t>lending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right</w:t>
      </w:r>
      <w:proofErr w:type="spellEnd"/>
      <w:r>
        <w:rPr>
          <w:i/>
        </w:rPr>
        <w:t xml:space="preserve"> do utworów powstałych w języku polskim lub przetłumaczonych na język polski w oparciu o przewidziane dyrektywą kryterium „celów promocji kultury</w:t>
      </w:r>
      <w:r>
        <w:t>”?</w:t>
      </w:r>
    </w:p>
    <w:p w:rsidR="00EB60E9" w:rsidRDefault="00F93533">
      <w:r>
        <w:t>Uważamy, że je</w:t>
      </w:r>
      <w:r>
        <w:t xml:space="preserve">st uzasadnione wprowadzenie ograniczenia wypłaty wynagrodzeń z tytułu public </w:t>
      </w:r>
      <w:proofErr w:type="spellStart"/>
      <w:r>
        <w:t>lending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do:</w:t>
      </w:r>
    </w:p>
    <w:p w:rsidR="00EB60E9" w:rsidRDefault="00F93533">
      <w:r>
        <w:t xml:space="preserve">a. utworów powstałych w języku polskim lub przetłumaczonych na język polski, </w:t>
      </w:r>
    </w:p>
    <w:p w:rsidR="00EB60E9" w:rsidRDefault="00F93533">
      <w:r>
        <w:t>b. utworów polskich twórców, niezależnie od języka, w którym utwór został napisany</w:t>
      </w:r>
    </w:p>
    <w:p w:rsidR="00EB60E9" w:rsidRDefault="00F93533">
      <w:r>
        <w:t xml:space="preserve">- w celu promocji kultury polskiej. </w:t>
      </w:r>
    </w:p>
    <w:p w:rsidR="00EB60E9" w:rsidRDefault="00F93533">
      <w:r>
        <w:rPr>
          <w:u w:val="single"/>
        </w:rPr>
        <w:lastRenderedPageBreak/>
        <w:t>Pytanie 6</w:t>
      </w:r>
      <w:r>
        <w:t xml:space="preserve">: </w:t>
      </w:r>
      <w:r>
        <w:rPr>
          <w:i/>
        </w:rPr>
        <w:t xml:space="preserve">Czy uważają Państwo, że należy wprowadzić dolną lub górną granicę wypłaty wynagrodzeń z tytułu public </w:t>
      </w:r>
      <w:proofErr w:type="spellStart"/>
      <w:r>
        <w:rPr>
          <w:i/>
        </w:rPr>
        <w:t>lending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right</w:t>
      </w:r>
      <w:proofErr w:type="spellEnd"/>
      <w:r>
        <w:rPr>
          <w:i/>
        </w:rPr>
        <w:t>? Jeżeli tak to, jakie - Państwa zdaniem - wartości powinny odpowiadać tym limitom?</w:t>
      </w:r>
    </w:p>
    <w:p w:rsidR="00EB60E9" w:rsidRDefault="00F93533">
      <w:pPr>
        <w:spacing w:line="360" w:lineRule="auto"/>
      </w:pPr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>Należy wp</w:t>
      </w:r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>rowadzić zarówno górną, jak i dolną granicę wynagrodzeń, przy czym:</w:t>
      </w:r>
    </w:p>
    <w:p w:rsidR="00EB60E9" w:rsidRDefault="00F93533">
      <w:pPr>
        <w:spacing w:line="360" w:lineRule="auto"/>
      </w:pPr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 xml:space="preserve">- dolną z uwagi na konieczne koszty administracyjne związane z jego wypłatą, przy założeniu, iż niewypłacone kwoty przejdą na kolejne okresy rozliczeniowe; </w:t>
      </w:r>
    </w:p>
    <w:p w:rsidR="00EB60E9" w:rsidRDefault="00F93533">
      <w:pPr>
        <w:spacing w:line="360" w:lineRule="auto"/>
      </w:pPr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 xml:space="preserve">– górną, by zapobiec sytuacji, </w:t>
      </w:r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 xml:space="preserve">w której uprawnieni do najbardziej popularnych tytułów wyczerpią w dużej mierze globalną pulę środków przeznaczonych na wynagrodzenia. </w:t>
      </w:r>
    </w:p>
    <w:p w:rsidR="00EB60E9" w:rsidRDefault="00F93533">
      <w:pPr>
        <w:spacing w:line="360" w:lineRule="auto"/>
      </w:pPr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 xml:space="preserve">Dolna kwota winna przewyższać koszt obsługi administracyjnej wypłaty; w przypadku górnej natomiast proponujemy </w:t>
      </w:r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>przyjrzenie się rozwiązaniu duńskiemu.</w:t>
      </w:r>
    </w:p>
    <w:p w:rsidR="00EB60E9" w:rsidRDefault="00EB60E9"/>
    <w:p w:rsidR="00EB60E9" w:rsidRDefault="00F93533">
      <w:r>
        <w:rPr>
          <w:u w:val="single"/>
        </w:rPr>
        <w:t>Pytanie 7</w:t>
      </w:r>
      <w:r>
        <w:rPr>
          <w:i/>
        </w:rPr>
        <w:t xml:space="preserve">: Czy zasadnym jest, aby wypłata wynagrodzenia z tytułu public </w:t>
      </w:r>
      <w:proofErr w:type="spellStart"/>
      <w:r>
        <w:rPr>
          <w:i/>
        </w:rPr>
        <w:t>lending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right</w:t>
      </w:r>
      <w:proofErr w:type="spellEnd"/>
      <w:r>
        <w:rPr>
          <w:i/>
        </w:rPr>
        <w:t xml:space="preserve"> uzależniona była od rejestracji utworu w instytucji odpowiedzialnej za podział środków pomiędzy uprawnionych? </w:t>
      </w:r>
    </w:p>
    <w:p w:rsidR="00EB60E9" w:rsidRDefault="00F93533"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>Naszym zdaniem nale</w:t>
      </w:r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 xml:space="preserve">ży uzależnić wypłatę wynagrodzeń z tytułu public </w:t>
      </w:r>
      <w:proofErr w:type="spellStart"/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>lending</w:t>
      </w:r>
      <w:proofErr w:type="spellEnd"/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>right</w:t>
      </w:r>
      <w:proofErr w:type="spellEnd"/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 xml:space="preserve"> od rejestracji utworu w instytucji odpowiedzialnej za podział środków pomiędzy uprawnionych.  System rejestracji umożliwi bowiem prawidłowe administrowanie wypłacanymi środkami, w tym ustalenie</w:t>
      </w:r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 xml:space="preserve"> liczby uprawnionych i przyporządkowanych</w:t>
      </w:r>
    </w:p>
    <w:p w:rsidR="00EB60E9" w:rsidRDefault="00F93533">
      <w:r>
        <w:rPr>
          <w:u w:val="single"/>
        </w:rPr>
        <w:t>Pytanie 8</w:t>
      </w:r>
      <w:r>
        <w:rPr>
          <w:i/>
        </w:rPr>
        <w:t xml:space="preserve">: Jakie kryteria podziału środków pomiędzy uprawnionych powinny zostać przyjęte w warunkach polskich? </w:t>
      </w:r>
    </w:p>
    <w:p w:rsidR="00EB60E9" w:rsidRDefault="00F93533">
      <w:pPr>
        <w:spacing w:line="360" w:lineRule="auto"/>
      </w:pPr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>Naszym zdaniem należy wziąć pod uwagę zarówno liczbę egzemplarzy zakupionych przez instytucje dostępne</w:t>
      </w:r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 xml:space="preserve"> dla publiczności, jak i częstotliwość </w:t>
      </w:r>
      <w:proofErr w:type="spellStart"/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>wypożyczeń</w:t>
      </w:r>
      <w:proofErr w:type="spellEnd"/>
      <w:r>
        <w:rPr>
          <w:rStyle w:val="Wyrnienieintensywne"/>
          <w:rFonts w:ascii="Cambria" w:hAnsi="Cambria"/>
          <w:b w:val="0"/>
          <w:bCs w:val="0"/>
          <w:i w:val="0"/>
          <w:iCs w:val="0"/>
          <w:color w:val="auto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System </w:t>
      </w:r>
      <w:proofErr w:type="spellStart"/>
      <w:r>
        <w:rPr>
          <w:rFonts w:ascii="Cambria" w:hAnsi="Cambria"/>
          <w:sz w:val="24"/>
          <w:szCs w:val="24"/>
        </w:rPr>
        <w:t>wypożyczeń</w:t>
      </w:r>
      <w:proofErr w:type="spellEnd"/>
      <w:r>
        <w:rPr>
          <w:rFonts w:ascii="Cambria" w:hAnsi="Cambria"/>
          <w:sz w:val="24"/>
          <w:szCs w:val="24"/>
        </w:rPr>
        <w:t xml:space="preserve">  zdaje się najlepiej uwzględniać potrzebę wypłaty uprawnionemu swoistego odszkodowania za straty, które ponosi w związku z bezpłatnym wypożyczeniem, nie uwzględnia jednak czytelnictwa w c</w:t>
      </w:r>
      <w:r>
        <w:rPr>
          <w:rFonts w:ascii="Cambria" w:hAnsi="Cambria"/>
          <w:sz w:val="24"/>
          <w:szCs w:val="24"/>
        </w:rPr>
        <w:t>zytelniach bibliotecznych. Stąd też potrzeba przyjęcia także kryterium liczby egzemplarzy dostępnych dla publiczności</w:t>
      </w:r>
    </w:p>
    <w:p w:rsidR="00EB60E9" w:rsidRDefault="00EB60E9">
      <w:pPr>
        <w:spacing w:line="360" w:lineRule="auto"/>
        <w:rPr>
          <w:rFonts w:ascii="Cambria" w:hAnsi="Cambria"/>
          <w:sz w:val="24"/>
          <w:szCs w:val="24"/>
        </w:rPr>
      </w:pPr>
    </w:p>
    <w:p w:rsidR="00EB60E9" w:rsidRDefault="00EB60E9">
      <w:pPr>
        <w:spacing w:line="360" w:lineRule="auto"/>
      </w:pPr>
    </w:p>
    <w:p w:rsidR="00EB60E9" w:rsidRDefault="00EB60E9"/>
    <w:p w:rsidR="00EB60E9" w:rsidRDefault="00F93533">
      <w:r>
        <w:rPr>
          <w:u w:val="single"/>
        </w:rPr>
        <w:t>Pytanie 9.</w:t>
      </w:r>
      <w:r>
        <w:rPr>
          <w:i/>
        </w:rPr>
        <w:t xml:space="preserve"> Jakie podmioty powinny być zaangażowane w system podziału wynagrodzeń z tytułu public </w:t>
      </w:r>
      <w:proofErr w:type="spellStart"/>
      <w:r>
        <w:rPr>
          <w:i/>
        </w:rPr>
        <w:t>lending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right</w:t>
      </w:r>
      <w:proofErr w:type="spellEnd"/>
      <w:r>
        <w:rPr>
          <w:i/>
        </w:rPr>
        <w:t xml:space="preserve"> pomiędzy uprawnionych? </w:t>
      </w:r>
    </w:p>
    <w:p w:rsidR="00EB60E9" w:rsidRDefault="00F93533">
      <w:pPr>
        <w:rPr>
          <w:i/>
        </w:rPr>
      </w:pPr>
      <w:r>
        <w:rPr>
          <w:i/>
        </w:rPr>
        <w:lastRenderedPageBreak/>
        <w:t>Naszym zdaniem należy zaangażować organizacje zbiorowego zarządzania prawami autorskimi</w:t>
      </w:r>
    </w:p>
    <w:p w:rsidR="00EB60E9" w:rsidRDefault="00F93533">
      <w:r>
        <w:rPr>
          <w:u w:val="single"/>
        </w:rPr>
        <w:t>Pytanie 10.</w:t>
      </w:r>
      <w:r>
        <w:rPr>
          <w:i/>
        </w:rPr>
        <w:t xml:space="preserve"> Przy założeniu, że liczba </w:t>
      </w:r>
      <w:proofErr w:type="spellStart"/>
      <w:r>
        <w:rPr>
          <w:i/>
        </w:rPr>
        <w:t>wypożyczeń</w:t>
      </w:r>
      <w:proofErr w:type="spellEnd"/>
      <w:r>
        <w:rPr>
          <w:i/>
        </w:rPr>
        <w:t xml:space="preserve"> konkretnych wydań tytułów będzie szacowana metodą statystyczną, w jaki sposób powinno się dokonywać wyboru reprezentaty</w:t>
      </w:r>
      <w:r>
        <w:rPr>
          <w:i/>
        </w:rPr>
        <w:t>wnych bibliotek, których działalność będzie brana pod uwagę przy szacowaniu wynagrodzeń dla konkretnych uprawnionych?</w:t>
      </w:r>
    </w:p>
    <w:p w:rsidR="00EB60E9" w:rsidRDefault="00F93533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 założeniu, że liczba </w:t>
      </w:r>
      <w:proofErr w:type="spellStart"/>
      <w:r>
        <w:rPr>
          <w:rFonts w:ascii="Cambria" w:hAnsi="Cambria"/>
          <w:sz w:val="24"/>
          <w:szCs w:val="24"/>
        </w:rPr>
        <w:t>wypożyczeń</w:t>
      </w:r>
      <w:proofErr w:type="spellEnd"/>
      <w:r>
        <w:rPr>
          <w:rFonts w:ascii="Cambria" w:hAnsi="Cambria"/>
          <w:sz w:val="24"/>
          <w:szCs w:val="24"/>
        </w:rPr>
        <w:t xml:space="preserve">  konkretnych tytułów będzie szacowana metodą statystyczną  należy przede wszystkim wziąć pod uwagę bi</w:t>
      </w:r>
      <w:r>
        <w:rPr>
          <w:rFonts w:ascii="Cambria" w:hAnsi="Cambria"/>
          <w:sz w:val="24"/>
          <w:szCs w:val="24"/>
        </w:rPr>
        <w:t xml:space="preserve">blioteki zinformatyzowane w liczbie nie niższej niż 2000 .  </w:t>
      </w:r>
    </w:p>
    <w:p w:rsidR="00EB60E9" w:rsidRDefault="00EB60E9"/>
    <w:sectPr w:rsidR="00EB60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3533">
      <w:pPr>
        <w:spacing w:after="0" w:line="240" w:lineRule="auto"/>
      </w:pPr>
      <w:r>
        <w:separator/>
      </w:r>
    </w:p>
  </w:endnote>
  <w:endnote w:type="continuationSeparator" w:id="0">
    <w:p w:rsidR="00000000" w:rsidRDefault="00F9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500928"/>
      <w:docPartObj>
        <w:docPartGallery w:val="Page Numbers (Bottom of Page)"/>
        <w:docPartUnique/>
      </w:docPartObj>
    </w:sdtPr>
    <w:sdtContent>
      <w:p w:rsidR="00F93533" w:rsidRDefault="00F935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3533" w:rsidRDefault="00F93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35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9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33" w:rsidRDefault="00F93533">
    <w:pPr>
      <w:pStyle w:val="Nagwek"/>
    </w:pPr>
    <w:r>
      <w:t>Stanowisko PIK w sprawie PLR FORUM PA III</w:t>
    </w:r>
  </w:p>
  <w:p w:rsidR="00F93533" w:rsidRDefault="00F935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60E9"/>
    <w:rsid w:val="0020505D"/>
    <w:rsid w:val="00EB60E9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Wyrnienieintensywne">
    <w:name w:val="Intense Emphasis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F9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533"/>
  </w:style>
  <w:style w:type="paragraph" w:styleId="Stopka">
    <w:name w:val="footer"/>
    <w:basedOn w:val="Normalny"/>
    <w:link w:val="StopkaZnak"/>
    <w:uiPriority w:val="99"/>
    <w:unhideWhenUsed/>
    <w:rsid w:val="00F9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533"/>
  </w:style>
  <w:style w:type="paragraph" w:styleId="Tekstdymka">
    <w:name w:val="Balloon Text"/>
    <w:basedOn w:val="Normalny"/>
    <w:link w:val="TekstdymkaZnak"/>
    <w:uiPriority w:val="99"/>
    <w:semiHidden/>
    <w:unhideWhenUsed/>
    <w:rsid w:val="00F9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Wyrnienieintensywne">
    <w:name w:val="Intense Emphasis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F9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533"/>
  </w:style>
  <w:style w:type="paragraph" w:styleId="Stopka">
    <w:name w:val="footer"/>
    <w:basedOn w:val="Normalny"/>
    <w:link w:val="StopkaZnak"/>
    <w:uiPriority w:val="99"/>
    <w:unhideWhenUsed/>
    <w:rsid w:val="00F9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533"/>
  </w:style>
  <w:style w:type="paragraph" w:styleId="Tekstdymka">
    <w:name w:val="Balloon Text"/>
    <w:basedOn w:val="Normalny"/>
    <w:link w:val="TekstdymkaZnak"/>
    <w:uiPriority w:val="99"/>
    <w:semiHidden/>
    <w:unhideWhenUsed/>
    <w:rsid w:val="00F9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64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8CD48FFDBF47C58A1967AA19DDFAF5">
    <w:name w:val="968CD48FFDBF47C58A1967AA19DDFAF5"/>
    <w:rsid w:val="00F711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8CD48FFDBF47C58A1967AA19DDFAF5">
    <w:name w:val="968CD48FFDBF47C58A1967AA19DDFAF5"/>
    <w:rsid w:val="00F71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</dc:creator>
  <cp:lastModifiedBy>user</cp:lastModifiedBy>
  <cp:revision>3</cp:revision>
  <dcterms:created xsi:type="dcterms:W3CDTF">2013-11-04T10:23:00Z</dcterms:created>
  <dcterms:modified xsi:type="dcterms:W3CDTF">2013-11-04T10:23:00Z</dcterms:modified>
</cp:coreProperties>
</file>