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drawings/drawing5.xml" ContentType="application/vnd.openxmlformats-officedocument.drawingml.chartshapes+xml"/>
  <Override PartName="/word/charts/chart8.xml" ContentType="application/vnd.openxmlformats-officedocument.drawingml.chart+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charts/chart10.xml" ContentType="application/vnd.openxmlformats-officedocument.drawingml.chart+xml"/>
  <Override PartName="/word/drawings/drawing8.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drawings/drawing9.xml" ContentType="application/vnd.openxmlformats-officedocument.drawingml.chartshapes+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AE" w:rsidRDefault="00392BAE" w:rsidP="00210D72">
      <w:pPr>
        <w:rPr>
          <w:rFonts w:ascii="Times New Roman" w:hAnsi="Times New Roman" w:cs="Times New Roman"/>
          <w:b/>
          <w:bCs/>
          <w:sz w:val="36"/>
          <w:szCs w:val="36"/>
        </w:rPr>
      </w:pPr>
      <w:bookmarkStart w:id="0" w:name="_GoBack"/>
      <w:bookmarkEnd w:id="0"/>
    </w:p>
    <w:p w:rsidR="00B65411" w:rsidRDefault="00B65411" w:rsidP="00210D72">
      <w:pPr>
        <w:rPr>
          <w:rFonts w:ascii="Times New Roman" w:hAnsi="Times New Roman" w:cs="Times New Roman"/>
          <w:b/>
          <w:bCs/>
          <w:sz w:val="36"/>
          <w:szCs w:val="36"/>
        </w:rPr>
      </w:pPr>
    </w:p>
    <w:p w:rsidR="00B65411" w:rsidRPr="00E106F1" w:rsidRDefault="0088598C" w:rsidP="0088598C">
      <w:pPr>
        <w:jc w:val="center"/>
        <w:rPr>
          <w:rFonts w:ascii="Cambria" w:hAnsi="Cambria" w:cs="Times New Roman"/>
          <w:b/>
          <w:bCs/>
          <w:sz w:val="88"/>
          <w:szCs w:val="88"/>
        </w:rPr>
      </w:pPr>
      <w:r w:rsidRPr="00E106F1">
        <w:rPr>
          <w:rFonts w:ascii="Cambria" w:hAnsi="Cambria" w:cs="Times New Roman"/>
          <w:b/>
          <w:bCs/>
          <w:sz w:val="88"/>
          <w:szCs w:val="88"/>
        </w:rPr>
        <w:t>RAPORT</w:t>
      </w:r>
    </w:p>
    <w:p w:rsidR="00B65411" w:rsidRPr="00134B3E" w:rsidRDefault="00B65411" w:rsidP="00210D72">
      <w:pPr>
        <w:rPr>
          <w:rFonts w:ascii="Cambria" w:hAnsi="Cambria" w:cs="Times New Roman"/>
          <w:b/>
          <w:bCs/>
          <w:sz w:val="36"/>
          <w:szCs w:val="36"/>
        </w:rPr>
      </w:pPr>
    </w:p>
    <w:p w:rsidR="00B65411" w:rsidRPr="00134B3E" w:rsidRDefault="00B65411" w:rsidP="00B65411">
      <w:pPr>
        <w:spacing w:after="0" w:line="240" w:lineRule="auto"/>
        <w:jc w:val="center"/>
        <w:rPr>
          <w:rFonts w:ascii="Cambria" w:hAnsi="Cambria" w:cs="Times New Roman"/>
          <w:b/>
          <w:bCs/>
          <w:sz w:val="56"/>
          <w:szCs w:val="56"/>
        </w:rPr>
      </w:pPr>
      <w:r w:rsidRPr="00134B3E">
        <w:rPr>
          <w:rFonts w:ascii="Cambria" w:hAnsi="Cambria" w:cs="Times New Roman"/>
          <w:b/>
          <w:bCs/>
          <w:sz w:val="56"/>
          <w:szCs w:val="56"/>
        </w:rPr>
        <w:t>Badanie rynku książki w Polsce</w:t>
      </w:r>
    </w:p>
    <w:p w:rsidR="00250C82" w:rsidRDefault="00250C82" w:rsidP="00250C82">
      <w:pPr>
        <w:tabs>
          <w:tab w:val="left" w:pos="7620"/>
        </w:tabs>
        <w:spacing w:after="0" w:line="240" w:lineRule="auto"/>
        <w:ind w:left="567"/>
        <w:jc w:val="both"/>
        <w:rPr>
          <w:rFonts w:ascii="Cambria" w:hAnsi="Cambria" w:cs="Times New Roman"/>
          <w:bCs/>
          <w:sz w:val="40"/>
          <w:szCs w:val="40"/>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3"/>
      </w:tblGrid>
      <w:tr w:rsidR="00030CD1" w:rsidTr="00030CD1">
        <w:trPr>
          <w:trHeight w:val="1329"/>
        </w:trPr>
        <w:tc>
          <w:tcPr>
            <w:tcW w:w="8253" w:type="dxa"/>
          </w:tcPr>
          <w:p w:rsidR="00030CD1" w:rsidRPr="00030CD1" w:rsidRDefault="00030CD1" w:rsidP="00250C82">
            <w:pPr>
              <w:tabs>
                <w:tab w:val="left" w:pos="7620"/>
              </w:tabs>
              <w:spacing w:after="0" w:line="240" w:lineRule="auto"/>
              <w:jc w:val="both"/>
              <w:rPr>
                <w:rFonts w:ascii="Cambria" w:hAnsi="Cambria" w:cs="Times New Roman"/>
                <w:bCs/>
                <w:sz w:val="40"/>
                <w:szCs w:val="40"/>
              </w:rPr>
            </w:pPr>
            <w:r w:rsidRPr="00030CD1">
              <w:rPr>
                <w:rFonts w:ascii="Cambria" w:hAnsi="Cambria" w:cs="Times New Roman"/>
                <w:bCs/>
                <w:sz w:val="40"/>
                <w:szCs w:val="40"/>
              </w:rPr>
              <w:t>Monitoring kondycji wydawców, trendów produkcyjnych i dystrybucyjnych na rynku wydawniczym.</w:t>
            </w:r>
          </w:p>
        </w:tc>
      </w:tr>
    </w:tbl>
    <w:p w:rsidR="00030CD1" w:rsidRPr="00030CD1" w:rsidRDefault="00030CD1" w:rsidP="00250C82">
      <w:pPr>
        <w:tabs>
          <w:tab w:val="left" w:pos="7620"/>
        </w:tabs>
        <w:spacing w:after="0" w:line="240" w:lineRule="auto"/>
        <w:ind w:left="567"/>
        <w:jc w:val="both"/>
        <w:rPr>
          <w:rFonts w:ascii="Cambria" w:hAnsi="Cambria" w:cs="Times New Roman"/>
          <w:bCs/>
          <w:sz w:val="40"/>
          <w:szCs w:val="40"/>
        </w:rPr>
      </w:pPr>
    </w:p>
    <w:p w:rsidR="00B65411" w:rsidRPr="00D02F24" w:rsidRDefault="00B65411" w:rsidP="00030CD1">
      <w:pPr>
        <w:tabs>
          <w:tab w:val="left" w:pos="7620"/>
        </w:tabs>
        <w:spacing w:after="0" w:line="240" w:lineRule="auto"/>
        <w:ind w:left="567"/>
        <w:rPr>
          <w:rFonts w:ascii="Cambria" w:hAnsi="Cambria" w:cs="Times New Roman"/>
          <w:bCs/>
          <w:sz w:val="40"/>
          <w:szCs w:val="40"/>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030CD1" w:rsidRPr="00D02F24" w:rsidTr="00D02F24">
        <w:trPr>
          <w:trHeight w:val="1948"/>
        </w:trPr>
        <w:tc>
          <w:tcPr>
            <w:tcW w:w="8363" w:type="dxa"/>
          </w:tcPr>
          <w:p w:rsidR="00A8364D" w:rsidRPr="00A8364D" w:rsidRDefault="00030CD1" w:rsidP="00A8364D">
            <w:pPr>
              <w:spacing w:after="0" w:line="240" w:lineRule="auto"/>
              <w:rPr>
                <w:rFonts w:asciiTheme="majorHAnsi" w:hAnsiTheme="majorHAnsi" w:cs="Times New Roman"/>
                <w:bCs/>
                <w:color w:val="002060"/>
                <w:sz w:val="36"/>
                <w:szCs w:val="36"/>
              </w:rPr>
            </w:pPr>
            <w:r w:rsidRPr="00A8364D">
              <w:rPr>
                <w:rFonts w:asciiTheme="majorHAnsi" w:hAnsiTheme="majorHAnsi" w:cs="Times New Roman"/>
                <w:bCs/>
                <w:color w:val="002060"/>
                <w:sz w:val="36"/>
                <w:szCs w:val="36"/>
              </w:rPr>
              <w:t xml:space="preserve">Projekt badawczy </w:t>
            </w:r>
            <w:r w:rsidRPr="00A8364D">
              <w:rPr>
                <w:rFonts w:asciiTheme="majorHAnsi" w:hAnsiTheme="majorHAnsi" w:cs="Times New Roman"/>
                <w:b/>
                <w:bCs/>
                <w:color w:val="002060"/>
                <w:sz w:val="36"/>
                <w:szCs w:val="36"/>
              </w:rPr>
              <w:t>Polskiej Izby Książki</w:t>
            </w:r>
            <w:r w:rsidRPr="00A8364D">
              <w:rPr>
                <w:rFonts w:asciiTheme="majorHAnsi" w:hAnsiTheme="majorHAnsi" w:cs="Times New Roman"/>
                <w:bCs/>
                <w:color w:val="002060"/>
                <w:sz w:val="36"/>
                <w:szCs w:val="36"/>
              </w:rPr>
              <w:t xml:space="preserve"> </w:t>
            </w:r>
          </w:p>
          <w:p w:rsidR="00D02F24" w:rsidRPr="00A8364D" w:rsidRDefault="00030CD1" w:rsidP="00A8364D">
            <w:pPr>
              <w:spacing w:after="0" w:line="240" w:lineRule="auto"/>
              <w:rPr>
                <w:rFonts w:asciiTheme="majorHAnsi" w:hAnsiTheme="majorHAnsi"/>
                <w:color w:val="002060"/>
                <w:sz w:val="36"/>
                <w:szCs w:val="36"/>
              </w:rPr>
            </w:pPr>
            <w:r w:rsidRPr="00A8364D">
              <w:rPr>
                <w:rFonts w:asciiTheme="majorHAnsi" w:hAnsiTheme="majorHAnsi"/>
                <w:color w:val="002060"/>
                <w:sz w:val="36"/>
                <w:szCs w:val="36"/>
              </w:rPr>
              <w:t xml:space="preserve">we współpracy z </w:t>
            </w:r>
            <w:r w:rsidRPr="00A8364D">
              <w:rPr>
                <w:rFonts w:asciiTheme="majorHAnsi" w:hAnsiTheme="majorHAnsi"/>
                <w:b/>
                <w:color w:val="002060"/>
                <w:sz w:val="36"/>
                <w:szCs w:val="36"/>
              </w:rPr>
              <w:t>Warszawskimi Targami Książki</w:t>
            </w:r>
            <w:r w:rsidRPr="00A8364D">
              <w:rPr>
                <w:rFonts w:asciiTheme="majorHAnsi" w:hAnsiTheme="majorHAnsi"/>
                <w:color w:val="002060"/>
                <w:sz w:val="36"/>
                <w:szCs w:val="36"/>
              </w:rPr>
              <w:t xml:space="preserve"> oraz </w:t>
            </w:r>
            <w:r w:rsidRPr="00A8364D">
              <w:rPr>
                <w:rFonts w:asciiTheme="majorHAnsi" w:hAnsiTheme="majorHAnsi"/>
                <w:b/>
                <w:color w:val="002060"/>
                <w:sz w:val="36"/>
                <w:szCs w:val="36"/>
              </w:rPr>
              <w:t>Targami Książki w Krakowie</w:t>
            </w:r>
            <w:r w:rsidRPr="00A8364D">
              <w:rPr>
                <w:rFonts w:asciiTheme="majorHAnsi" w:hAnsiTheme="majorHAnsi"/>
                <w:color w:val="002060"/>
                <w:sz w:val="36"/>
                <w:szCs w:val="36"/>
              </w:rPr>
              <w:t xml:space="preserve"> </w:t>
            </w:r>
          </w:p>
          <w:p w:rsidR="00030CD1" w:rsidRPr="00D02F24" w:rsidRDefault="00030CD1" w:rsidP="00A8364D">
            <w:pPr>
              <w:spacing w:after="0" w:line="240" w:lineRule="auto"/>
              <w:rPr>
                <w:rFonts w:asciiTheme="majorHAnsi" w:hAnsiTheme="majorHAnsi"/>
                <w:color w:val="002060"/>
                <w:sz w:val="40"/>
                <w:szCs w:val="40"/>
              </w:rPr>
            </w:pPr>
            <w:r w:rsidRPr="00A8364D">
              <w:rPr>
                <w:rFonts w:asciiTheme="majorHAnsi" w:hAnsiTheme="majorHAnsi"/>
                <w:color w:val="002060"/>
                <w:sz w:val="36"/>
                <w:szCs w:val="36"/>
              </w:rPr>
              <w:t xml:space="preserve">pod patronatem </w:t>
            </w:r>
            <w:r w:rsidRPr="00A8364D">
              <w:rPr>
                <w:rFonts w:asciiTheme="majorHAnsi" w:hAnsiTheme="majorHAnsi"/>
                <w:b/>
                <w:color w:val="002060"/>
                <w:sz w:val="36"/>
                <w:szCs w:val="36"/>
              </w:rPr>
              <w:t>Instytutu Książki</w:t>
            </w:r>
            <w:r w:rsidR="00E707C5" w:rsidRPr="00A8364D">
              <w:rPr>
                <w:rFonts w:asciiTheme="majorHAnsi" w:hAnsiTheme="majorHAnsi" w:cs="Times New Roman"/>
                <w:bCs/>
                <w:color w:val="002060"/>
                <w:sz w:val="36"/>
                <w:szCs w:val="36"/>
              </w:rPr>
              <w:t>.</w:t>
            </w:r>
          </w:p>
        </w:tc>
      </w:tr>
    </w:tbl>
    <w:p w:rsidR="00B65411" w:rsidRPr="00134B3E" w:rsidRDefault="00B65411" w:rsidP="00030CD1">
      <w:pPr>
        <w:spacing w:after="0" w:line="240" w:lineRule="auto"/>
        <w:jc w:val="both"/>
        <w:rPr>
          <w:rFonts w:ascii="Cambria" w:hAnsi="Cambria" w:cs="Times New Roman"/>
          <w:b/>
          <w:bCs/>
          <w:sz w:val="56"/>
          <w:szCs w:val="56"/>
        </w:rPr>
      </w:pPr>
    </w:p>
    <w:p w:rsidR="00A8364D" w:rsidRDefault="00A8364D" w:rsidP="00B65411">
      <w:pPr>
        <w:spacing w:after="0" w:line="240" w:lineRule="auto"/>
        <w:jc w:val="center"/>
        <w:rPr>
          <w:rFonts w:ascii="Cambria" w:hAnsi="Cambria" w:cs="Times New Roman"/>
          <w:bCs/>
          <w:sz w:val="40"/>
          <w:szCs w:val="40"/>
        </w:rPr>
      </w:pPr>
    </w:p>
    <w:p w:rsidR="00A8364D" w:rsidRDefault="00A8364D" w:rsidP="00B65411">
      <w:pPr>
        <w:spacing w:after="0" w:line="240" w:lineRule="auto"/>
        <w:jc w:val="center"/>
        <w:rPr>
          <w:rFonts w:ascii="Cambria" w:hAnsi="Cambria" w:cs="Times New Roman"/>
          <w:bCs/>
          <w:sz w:val="40"/>
          <w:szCs w:val="40"/>
        </w:rPr>
      </w:pPr>
    </w:p>
    <w:p w:rsidR="00A8364D" w:rsidRDefault="00A8364D" w:rsidP="00B65411">
      <w:pPr>
        <w:spacing w:after="0" w:line="240" w:lineRule="auto"/>
        <w:jc w:val="center"/>
        <w:rPr>
          <w:rFonts w:ascii="Cambria" w:hAnsi="Cambria" w:cs="Times New Roman"/>
          <w:bCs/>
          <w:sz w:val="40"/>
          <w:szCs w:val="40"/>
        </w:rPr>
      </w:pPr>
    </w:p>
    <w:p w:rsidR="00DD4395" w:rsidRPr="00250C82" w:rsidRDefault="00B65411" w:rsidP="00B65411">
      <w:pPr>
        <w:spacing w:after="0" w:line="240" w:lineRule="auto"/>
        <w:jc w:val="center"/>
        <w:rPr>
          <w:rFonts w:ascii="Times New Roman" w:hAnsi="Times New Roman" w:cs="Times New Roman"/>
          <w:b/>
          <w:bCs/>
          <w:sz w:val="40"/>
          <w:szCs w:val="40"/>
        </w:rPr>
      </w:pPr>
      <w:r w:rsidRPr="00250C82">
        <w:rPr>
          <w:rFonts w:ascii="Cambria" w:hAnsi="Cambria" w:cs="Times New Roman"/>
          <w:bCs/>
          <w:sz w:val="40"/>
          <w:szCs w:val="40"/>
        </w:rPr>
        <w:t xml:space="preserve">Warszawa, </w:t>
      </w:r>
      <w:r w:rsidR="0088598C" w:rsidRPr="00250C82">
        <w:rPr>
          <w:rFonts w:ascii="Cambria" w:hAnsi="Cambria" w:cs="Times New Roman"/>
          <w:bCs/>
          <w:sz w:val="40"/>
          <w:szCs w:val="40"/>
        </w:rPr>
        <w:t>październik</w:t>
      </w:r>
      <w:r w:rsidRPr="00250C82">
        <w:rPr>
          <w:rFonts w:ascii="Cambria" w:hAnsi="Cambria" w:cs="Times New Roman"/>
          <w:bCs/>
          <w:sz w:val="40"/>
          <w:szCs w:val="40"/>
        </w:rPr>
        <w:t xml:space="preserve"> 2013</w:t>
      </w:r>
      <w:r w:rsidR="00134B3E" w:rsidRPr="00250C82">
        <w:rPr>
          <w:rFonts w:ascii="Cambria" w:hAnsi="Cambria" w:cs="Times New Roman"/>
          <w:bCs/>
          <w:sz w:val="40"/>
          <w:szCs w:val="40"/>
        </w:rPr>
        <w:t xml:space="preserve"> r.</w:t>
      </w:r>
      <w:r w:rsidR="00392BAE" w:rsidRPr="00250C82">
        <w:rPr>
          <w:rFonts w:ascii="Times New Roman" w:hAnsi="Times New Roman" w:cs="Times New Roman"/>
          <w:b/>
          <w:bCs/>
          <w:sz w:val="40"/>
          <w:szCs w:val="40"/>
        </w:rPr>
        <w:br w:type="page"/>
      </w:r>
    </w:p>
    <w:p w:rsidR="007E46C8" w:rsidRPr="007C32B4" w:rsidRDefault="007E46C8" w:rsidP="007E46C8">
      <w:pPr>
        <w:rPr>
          <w:rFonts w:ascii="Times New Roman" w:hAnsi="Times New Roman" w:cs="Times New Roman"/>
          <w:b/>
          <w:bCs/>
          <w:sz w:val="36"/>
          <w:szCs w:val="36"/>
        </w:rPr>
      </w:pPr>
      <w:r w:rsidRPr="007C32B4">
        <w:rPr>
          <w:rFonts w:ascii="Times New Roman" w:hAnsi="Times New Roman" w:cs="Times New Roman"/>
          <w:b/>
          <w:bCs/>
          <w:sz w:val="36"/>
          <w:szCs w:val="36"/>
        </w:rPr>
        <w:lastRenderedPageBreak/>
        <w:t>Spis treści</w:t>
      </w:r>
    </w:p>
    <w:p w:rsidR="00FD7450" w:rsidRPr="00FD7450" w:rsidRDefault="00FD7450" w:rsidP="007E46C8">
      <w:pPr>
        <w:rPr>
          <w:rFonts w:ascii="Times New Roman" w:hAnsi="Times New Roman" w:cs="Times New Roman"/>
          <w:b/>
          <w:bCs/>
          <w:sz w:val="28"/>
          <w:szCs w:val="28"/>
        </w:rPr>
      </w:pPr>
    </w:p>
    <w:p w:rsidR="007E46C8" w:rsidRPr="007C32B4" w:rsidRDefault="007E46C8" w:rsidP="009A7B96">
      <w:pPr>
        <w:spacing w:line="360" w:lineRule="auto"/>
        <w:jc w:val="right"/>
        <w:rPr>
          <w:rFonts w:ascii="Times New Roman" w:hAnsi="Times New Roman" w:cs="Times New Roman"/>
          <w:b/>
          <w:sz w:val="24"/>
          <w:szCs w:val="24"/>
        </w:rPr>
      </w:pPr>
      <w:r w:rsidRPr="00332277">
        <w:rPr>
          <w:rFonts w:ascii="Times New Roman" w:hAnsi="Times New Roman" w:cs="Times New Roman"/>
          <w:b/>
          <w:sz w:val="24"/>
          <w:szCs w:val="24"/>
        </w:rPr>
        <w:t xml:space="preserve">1. </w:t>
      </w:r>
      <w:r w:rsidRPr="007C32B4">
        <w:rPr>
          <w:rFonts w:ascii="Times New Roman" w:hAnsi="Times New Roman" w:cs="Times New Roman"/>
          <w:b/>
          <w:sz w:val="24"/>
          <w:szCs w:val="24"/>
        </w:rPr>
        <w:t>Wstęp</w:t>
      </w:r>
      <w:r w:rsidR="00332277" w:rsidRPr="007C32B4">
        <w:rPr>
          <w:rFonts w:ascii="Times New Roman" w:hAnsi="Times New Roman" w:cs="Times New Roman"/>
          <w:sz w:val="24"/>
          <w:szCs w:val="24"/>
        </w:rPr>
        <w:t xml:space="preserve"> ……………………………………………………………………………………….</w:t>
      </w:r>
      <w:r w:rsidR="00332277" w:rsidRPr="007C32B4">
        <w:rPr>
          <w:rFonts w:ascii="Times New Roman" w:hAnsi="Times New Roman" w:cs="Times New Roman"/>
          <w:b/>
          <w:sz w:val="24"/>
          <w:szCs w:val="24"/>
        </w:rPr>
        <w:t>3</w:t>
      </w:r>
    </w:p>
    <w:p w:rsidR="007E46C8" w:rsidRPr="007C32B4" w:rsidRDefault="007E46C8" w:rsidP="009A7B96">
      <w:pPr>
        <w:spacing w:line="360" w:lineRule="auto"/>
        <w:jc w:val="right"/>
        <w:rPr>
          <w:rFonts w:ascii="Times New Roman" w:hAnsi="Times New Roman" w:cs="Times New Roman"/>
          <w:sz w:val="24"/>
          <w:szCs w:val="24"/>
        </w:rPr>
      </w:pPr>
      <w:r w:rsidRPr="007C32B4">
        <w:rPr>
          <w:rFonts w:ascii="Times New Roman" w:hAnsi="Times New Roman" w:cs="Times New Roman"/>
          <w:b/>
          <w:sz w:val="24"/>
          <w:szCs w:val="24"/>
        </w:rPr>
        <w:t>2. Polski rynek książki</w:t>
      </w:r>
      <w:r w:rsidR="009A7B96" w:rsidRPr="007C32B4">
        <w:rPr>
          <w:rFonts w:ascii="Times New Roman" w:hAnsi="Times New Roman" w:cs="Times New Roman"/>
          <w:b/>
          <w:sz w:val="24"/>
          <w:szCs w:val="24"/>
        </w:rPr>
        <w:t>.</w:t>
      </w:r>
      <w:r w:rsidR="00332277" w:rsidRPr="007C32B4">
        <w:rPr>
          <w:rFonts w:ascii="Times New Roman" w:hAnsi="Times New Roman" w:cs="Times New Roman"/>
          <w:sz w:val="24"/>
          <w:szCs w:val="24"/>
        </w:rPr>
        <w:t>……………………………………………………………………….</w:t>
      </w:r>
      <w:r w:rsidR="00332277" w:rsidRPr="007C32B4">
        <w:rPr>
          <w:rFonts w:ascii="Times New Roman" w:hAnsi="Times New Roman" w:cs="Times New Roman"/>
          <w:b/>
          <w:sz w:val="24"/>
          <w:szCs w:val="24"/>
        </w:rPr>
        <w:t>5</w:t>
      </w:r>
    </w:p>
    <w:p w:rsidR="007E46C8" w:rsidRPr="007C32B4" w:rsidRDefault="007E46C8" w:rsidP="007E46C8">
      <w:pPr>
        <w:pStyle w:val="Akapitzlist"/>
        <w:numPr>
          <w:ilvl w:val="0"/>
          <w:numId w:val="1"/>
        </w:numPr>
        <w:spacing w:line="360" w:lineRule="auto"/>
        <w:rPr>
          <w:rFonts w:ascii="Times New Roman" w:hAnsi="Times New Roman" w:cs="Times New Roman"/>
          <w:vanish/>
          <w:sz w:val="24"/>
          <w:szCs w:val="24"/>
        </w:rPr>
      </w:pPr>
    </w:p>
    <w:p w:rsidR="007E46C8" w:rsidRPr="007C32B4" w:rsidRDefault="007E46C8" w:rsidP="007E46C8">
      <w:pPr>
        <w:pStyle w:val="Akapitzlist"/>
        <w:numPr>
          <w:ilvl w:val="0"/>
          <w:numId w:val="1"/>
        </w:numPr>
        <w:spacing w:line="360" w:lineRule="auto"/>
        <w:rPr>
          <w:rFonts w:ascii="Times New Roman" w:hAnsi="Times New Roman" w:cs="Times New Roman"/>
          <w:vanish/>
          <w:sz w:val="24"/>
          <w:szCs w:val="24"/>
        </w:rPr>
      </w:pPr>
    </w:p>
    <w:p w:rsidR="007E46C8" w:rsidRPr="007C32B4" w:rsidRDefault="00332277" w:rsidP="009A7B96">
      <w:pPr>
        <w:spacing w:line="360" w:lineRule="auto"/>
        <w:jc w:val="right"/>
        <w:rPr>
          <w:rFonts w:ascii="Times New Roman" w:hAnsi="Times New Roman" w:cs="Times New Roman"/>
          <w:b/>
          <w:sz w:val="24"/>
          <w:szCs w:val="24"/>
        </w:rPr>
      </w:pPr>
      <w:r w:rsidRPr="007C32B4">
        <w:rPr>
          <w:rFonts w:ascii="Times New Roman" w:hAnsi="Times New Roman" w:cs="Times New Roman"/>
          <w:b/>
          <w:sz w:val="24"/>
          <w:szCs w:val="24"/>
        </w:rPr>
        <w:t xml:space="preserve">2.1. </w:t>
      </w:r>
      <w:r w:rsidR="007E46C8" w:rsidRPr="007C32B4">
        <w:rPr>
          <w:rFonts w:ascii="Times New Roman" w:hAnsi="Times New Roman" w:cs="Times New Roman"/>
          <w:b/>
          <w:sz w:val="24"/>
          <w:szCs w:val="24"/>
        </w:rPr>
        <w:t xml:space="preserve"> Makrootoczenie</w:t>
      </w:r>
      <w:r w:rsidR="009A7B96" w:rsidRPr="007C32B4">
        <w:rPr>
          <w:rFonts w:ascii="Times New Roman" w:hAnsi="Times New Roman" w:cs="Times New Roman"/>
          <w:b/>
          <w:sz w:val="24"/>
          <w:szCs w:val="24"/>
        </w:rPr>
        <w:t>...</w:t>
      </w:r>
      <w:r w:rsidRPr="007C32B4">
        <w:rPr>
          <w:rFonts w:ascii="Times New Roman" w:hAnsi="Times New Roman" w:cs="Times New Roman"/>
          <w:sz w:val="24"/>
          <w:szCs w:val="24"/>
        </w:rPr>
        <w:t>…………………………………………………………...………….</w:t>
      </w:r>
      <w:r w:rsidRPr="007C32B4">
        <w:rPr>
          <w:rFonts w:ascii="Times New Roman" w:hAnsi="Times New Roman" w:cs="Times New Roman"/>
          <w:b/>
          <w:sz w:val="24"/>
          <w:szCs w:val="24"/>
        </w:rPr>
        <w:t>5</w:t>
      </w:r>
    </w:p>
    <w:p w:rsidR="007E46C8" w:rsidRPr="007C32B4" w:rsidRDefault="001A4B90" w:rsidP="009A7B96">
      <w:pPr>
        <w:tabs>
          <w:tab w:val="left" w:pos="709"/>
        </w:tabs>
        <w:spacing w:line="360" w:lineRule="auto"/>
        <w:jc w:val="right"/>
        <w:rPr>
          <w:rFonts w:ascii="Times New Roman" w:hAnsi="Times New Roman" w:cs="Times New Roman"/>
          <w:sz w:val="24"/>
          <w:szCs w:val="24"/>
        </w:rPr>
      </w:pPr>
      <w:r w:rsidRPr="007C32B4">
        <w:rPr>
          <w:rFonts w:ascii="Times New Roman" w:hAnsi="Times New Roman" w:cs="Times New Roman"/>
          <w:sz w:val="24"/>
          <w:szCs w:val="24"/>
        </w:rPr>
        <w:tab/>
      </w:r>
      <w:r w:rsidR="007E46C8" w:rsidRPr="007C32B4">
        <w:rPr>
          <w:rFonts w:ascii="Times New Roman" w:hAnsi="Times New Roman" w:cs="Times New Roman"/>
          <w:sz w:val="24"/>
          <w:szCs w:val="24"/>
        </w:rPr>
        <w:t>2.1.1. Analiza PEST</w:t>
      </w:r>
      <w:r w:rsidR="00332277" w:rsidRPr="007C32B4">
        <w:rPr>
          <w:rFonts w:ascii="Times New Roman" w:hAnsi="Times New Roman" w:cs="Times New Roman"/>
          <w:sz w:val="24"/>
          <w:szCs w:val="24"/>
        </w:rPr>
        <w:t xml:space="preserve"> ……………………</w:t>
      </w:r>
      <w:r w:rsidRPr="007C32B4">
        <w:rPr>
          <w:rFonts w:ascii="Times New Roman" w:hAnsi="Times New Roman" w:cs="Times New Roman"/>
          <w:sz w:val="24"/>
          <w:szCs w:val="24"/>
        </w:rPr>
        <w:t>….</w:t>
      </w:r>
      <w:r w:rsidR="00332277" w:rsidRPr="007C32B4">
        <w:rPr>
          <w:rFonts w:ascii="Times New Roman" w:hAnsi="Times New Roman" w:cs="Times New Roman"/>
          <w:sz w:val="24"/>
          <w:szCs w:val="24"/>
        </w:rPr>
        <w:t>…...……………</w:t>
      </w:r>
      <w:r w:rsidRPr="007C32B4">
        <w:rPr>
          <w:rFonts w:ascii="Times New Roman" w:hAnsi="Times New Roman" w:cs="Times New Roman"/>
          <w:sz w:val="24"/>
          <w:szCs w:val="24"/>
        </w:rPr>
        <w:t>...</w:t>
      </w:r>
      <w:r w:rsidR="00332277" w:rsidRPr="007C32B4">
        <w:rPr>
          <w:rFonts w:ascii="Times New Roman" w:hAnsi="Times New Roman" w:cs="Times New Roman"/>
          <w:sz w:val="24"/>
          <w:szCs w:val="24"/>
        </w:rPr>
        <w:t>………………………</w:t>
      </w:r>
      <w:r w:rsidR="00332277" w:rsidRPr="007C32B4">
        <w:rPr>
          <w:rFonts w:ascii="Times New Roman" w:hAnsi="Times New Roman" w:cs="Times New Roman"/>
          <w:b/>
          <w:sz w:val="24"/>
          <w:szCs w:val="24"/>
        </w:rPr>
        <w:t>5</w:t>
      </w:r>
    </w:p>
    <w:p w:rsidR="007E46C8" w:rsidRPr="007C32B4" w:rsidRDefault="007E46C8" w:rsidP="009A7B96">
      <w:pPr>
        <w:spacing w:line="360" w:lineRule="auto"/>
        <w:ind w:firstLine="708"/>
        <w:jc w:val="right"/>
        <w:rPr>
          <w:rFonts w:ascii="Times New Roman" w:hAnsi="Times New Roman" w:cs="Times New Roman"/>
          <w:sz w:val="24"/>
          <w:szCs w:val="24"/>
        </w:rPr>
      </w:pPr>
      <w:r w:rsidRPr="007C32B4">
        <w:rPr>
          <w:rFonts w:ascii="Times New Roman" w:hAnsi="Times New Roman" w:cs="Times New Roman"/>
          <w:sz w:val="24"/>
          <w:szCs w:val="24"/>
        </w:rPr>
        <w:t>2.1.2 Punktowa ocena czynników zewnętrznych sektora</w:t>
      </w:r>
      <w:r w:rsidR="00332277" w:rsidRPr="007C32B4">
        <w:rPr>
          <w:rFonts w:ascii="Times New Roman" w:hAnsi="Times New Roman" w:cs="Times New Roman"/>
          <w:sz w:val="24"/>
          <w:szCs w:val="24"/>
        </w:rPr>
        <w:t xml:space="preserve"> ……………………………</w:t>
      </w:r>
      <w:r w:rsidR="00332277" w:rsidRPr="007C32B4">
        <w:rPr>
          <w:rFonts w:ascii="Times New Roman" w:hAnsi="Times New Roman" w:cs="Times New Roman"/>
          <w:b/>
          <w:sz w:val="24"/>
          <w:szCs w:val="24"/>
        </w:rPr>
        <w:t>12</w:t>
      </w:r>
    </w:p>
    <w:p w:rsidR="007E46C8" w:rsidRPr="007C32B4" w:rsidRDefault="007E46C8" w:rsidP="009A7B96">
      <w:pPr>
        <w:spacing w:line="360" w:lineRule="auto"/>
        <w:jc w:val="right"/>
        <w:rPr>
          <w:rFonts w:ascii="Times New Roman" w:hAnsi="Times New Roman" w:cs="Times New Roman"/>
          <w:sz w:val="24"/>
          <w:szCs w:val="24"/>
        </w:rPr>
      </w:pPr>
      <w:r w:rsidRPr="007C32B4">
        <w:rPr>
          <w:rFonts w:ascii="Times New Roman" w:hAnsi="Times New Roman" w:cs="Times New Roman"/>
          <w:b/>
          <w:sz w:val="24"/>
          <w:szCs w:val="24"/>
        </w:rPr>
        <w:t>2.2. Otoczenie konkurencyjne</w:t>
      </w:r>
      <w:r w:rsidR="00332277" w:rsidRPr="007C32B4">
        <w:rPr>
          <w:rFonts w:ascii="Times New Roman" w:hAnsi="Times New Roman" w:cs="Times New Roman"/>
          <w:sz w:val="24"/>
          <w:szCs w:val="24"/>
        </w:rPr>
        <w:t xml:space="preserve"> ………………………………….………</w:t>
      </w:r>
      <w:r w:rsidR="00DA36FC" w:rsidRPr="007C32B4">
        <w:rPr>
          <w:rFonts w:ascii="Times New Roman" w:hAnsi="Times New Roman" w:cs="Times New Roman"/>
          <w:sz w:val="24"/>
          <w:szCs w:val="24"/>
        </w:rPr>
        <w:t>...</w:t>
      </w:r>
      <w:r w:rsidR="00332277" w:rsidRPr="007C32B4">
        <w:rPr>
          <w:rFonts w:ascii="Times New Roman" w:hAnsi="Times New Roman" w:cs="Times New Roman"/>
          <w:sz w:val="24"/>
          <w:szCs w:val="24"/>
        </w:rPr>
        <w:t>………………..</w:t>
      </w:r>
      <w:r w:rsidR="00332277" w:rsidRPr="007C32B4">
        <w:rPr>
          <w:rFonts w:ascii="Times New Roman" w:hAnsi="Times New Roman" w:cs="Times New Roman"/>
          <w:b/>
          <w:sz w:val="24"/>
          <w:szCs w:val="24"/>
        </w:rPr>
        <w:t>14</w:t>
      </w:r>
    </w:p>
    <w:p w:rsidR="007E46C8" w:rsidRPr="007C32B4" w:rsidRDefault="007E46C8" w:rsidP="009A7B96">
      <w:pPr>
        <w:spacing w:line="360" w:lineRule="auto"/>
        <w:ind w:firstLine="708"/>
        <w:jc w:val="right"/>
        <w:rPr>
          <w:rFonts w:ascii="Times New Roman" w:hAnsi="Times New Roman" w:cs="Times New Roman"/>
          <w:sz w:val="24"/>
          <w:szCs w:val="24"/>
        </w:rPr>
      </w:pPr>
      <w:r w:rsidRPr="007C32B4">
        <w:rPr>
          <w:rFonts w:ascii="Times New Roman" w:hAnsi="Times New Roman" w:cs="Times New Roman"/>
          <w:sz w:val="24"/>
          <w:szCs w:val="24"/>
        </w:rPr>
        <w:t>2.2.1. Metoda „Pięciu sił Portera”</w:t>
      </w:r>
      <w:r w:rsidR="00332277" w:rsidRPr="007C32B4">
        <w:rPr>
          <w:rFonts w:ascii="Times New Roman" w:hAnsi="Times New Roman" w:cs="Times New Roman"/>
          <w:sz w:val="24"/>
          <w:szCs w:val="24"/>
        </w:rPr>
        <w:t xml:space="preserve"> ……………………………</w:t>
      </w:r>
      <w:r w:rsidR="001A4B90" w:rsidRPr="007C32B4">
        <w:rPr>
          <w:rFonts w:ascii="Times New Roman" w:hAnsi="Times New Roman" w:cs="Times New Roman"/>
          <w:sz w:val="24"/>
          <w:szCs w:val="24"/>
        </w:rPr>
        <w:t>…...</w:t>
      </w:r>
      <w:r w:rsidR="00332277" w:rsidRPr="007C32B4">
        <w:rPr>
          <w:rFonts w:ascii="Times New Roman" w:hAnsi="Times New Roman" w:cs="Times New Roman"/>
          <w:sz w:val="24"/>
          <w:szCs w:val="24"/>
        </w:rPr>
        <w:t>………………….</w:t>
      </w:r>
      <w:r w:rsidR="00332277" w:rsidRPr="007C32B4">
        <w:rPr>
          <w:rFonts w:ascii="Times New Roman" w:hAnsi="Times New Roman" w:cs="Times New Roman"/>
          <w:b/>
          <w:sz w:val="24"/>
          <w:szCs w:val="24"/>
        </w:rPr>
        <w:t>14</w:t>
      </w:r>
    </w:p>
    <w:p w:rsidR="007E46C8" w:rsidRPr="007C32B4" w:rsidRDefault="007E46C8" w:rsidP="009A7B96">
      <w:pPr>
        <w:spacing w:line="360" w:lineRule="auto"/>
        <w:ind w:firstLine="708"/>
        <w:jc w:val="right"/>
        <w:rPr>
          <w:rFonts w:ascii="Times New Roman" w:hAnsi="Times New Roman" w:cs="Times New Roman"/>
          <w:sz w:val="24"/>
          <w:szCs w:val="24"/>
        </w:rPr>
      </w:pPr>
      <w:r w:rsidRPr="007C32B4">
        <w:rPr>
          <w:rFonts w:ascii="Times New Roman" w:hAnsi="Times New Roman" w:cs="Times New Roman"/>
          <w:sz w:val="24"/>
          <w:szCs w:val="24"/>
        </w:rPr>
        <w:t>2.2.2. Media elektroniczne</w:t>
      </w:r>
      <w:r w:rsidR="00332277" w:rsidRPr="007C32B4">
        <w:rPr>
          <w:rFonts w:ascii="Times New Roman" w:hAnsi="Times New Roman" w:cs="Times New Roman"/>
          <w:sz w:val="24"/>
          <w:szCs w:val="24"/>
        </w:rPr>
        <w:t xml:space="preserve"> ………………………………….……………………….</w:t>
      </w:r>
      <w:r w:rsidR="001A4B90" w:rsidRPr="007C32B4">
        <w:rPr>
          <w:rFonts w:ascii="Times New Roman" w:hAnsi="Times New Roman" w:cs="Times New Roman"/>
          <w:sz w:val="24"/>
          <w:szCs w:val="24"/>
        </w:rPr>
        <w:t>.</w:t>
      </w:r>
      <w:r w:rsidR="00332277" w:rsidRPr="007C32B4">
        <w:rPr>
          <w:rFonts w:ascii="Times New Roman" w:hAnsi="Times New Roman" w:cs="Times New Roman"/>
          <w:b/>
          <w:sz w:val="24"/>
          <w:szCs w:val="24"/>
        </w:rPr>
        <w:t>17</w:t>
      </w:r>
    </w:p>
    <w:p w:rsidR="007E46C8" w:rsidRPr="007C32B4" w:rsidRDefault="007E46C8" w:rsidP="009A7B96">
      <w:pPr>
        <w:spacing w:line="240" w:lineRule="auto"/>
        <w:jc w:val="right"/>
        <w:rPr>
          <w:rFonts w:ascii="Times New Roman" w:hAnsi="Times New Roman" w:cs="Times New Roman"/>
          <w:b/>
          <w:sz w:val="24"/>
          <w:szCs w:val="24"/>
        </w:rPr>
      </w:pPr>
      <w:r w:rsidRPr="007C32B4">
        <w:rPr>
          <w:rFonts w:ascii="Times New Roman" w:hAnsi="Times New Roman" w:cs="Times New Roman"/>
          <w:b/>
          <w:sz w:val="24"/>
          <w:szCs w:val="24"/>
        </w:rPr>
        <w:t>2.3. Analiza rynku książki</w:t>
      </w:r>
      <w:r w:rsidR="00332277" w:rsidRPr="007C32B4">
        <w:rPr>
          <w:rFonts w:ascii="Times New Roman" w:hAnsi="Times New Roman" w:cs="Times New Roman"/>
          <w:sz w:val="24"/>
          <w:szCs w:val="24"/>
        </w:rPr>
        <w:t xml:space="preserve"> ……………………………………...</w:t>
      </w:r>
      <w:r w:rsidR="00DA36FC" w:rsidRPr="007C32B4">
        <w:rPr>
          <w:rFonts w:ascii="Times New Roman" w:hAnsi="Times New Roman" w:cs="Times New Roman"/>
          <w:sz w:val="24"/>
          <w:szCs w:val="24"/>
        </w:rPr>
        <w:t>...</w:t>
      </w:r>
      <w:r w:rsidR="00332277" w:rsidRPr="007C32B4">
        <w:rPr>
          <w:rFonts w:ascii="Times New Roman" w:hAnsi="Times New Roman" w:cs="Times New Roman"/>
          <w:sz w:val="24"/>
          <w:szCs w:val="24"/>
        </w:rPr>
        <w:t>……………………….</w:t>
      </w:r>
      <w:r w:rsidR="00012229" w:rsidRPr="007C32B4">
        <w:rPr>
          <w:rFonts w:ascii="Times New Roman" w:hAnsi="Times New Roman" w:cs="Times New Roman"/>
          <w:sz w:val="24"/>
          <w:szCs w:val="24"/>
        </w:rPr>
        <w:t>.</w:t>
      </w:r>
      <w:r w:rsidR="00332277" w:rsidRPr="007C32B4">
        <w:rPr>
          <w:rFonts w:ascii="Times New Roman" w:hAnsi="Times New Roman" w:cs="Times New Roman"/>
          <w:b/>
          <w:sz w:val="24"/>
          <w:szCs w:val="24"/>
        </w:rPr>
        <w:t>19</w:t>
      </w:r>
    </w:p>
    <w:p w:rsidR="007E46C8" w:rsidRPr="007C32B4" w:rsidRDefault="007E46C8" w:rsidP="001A4B90">
      <w:pPr>
        <w:pStyle w:val="Akapitzlist"/>
        <w:numPr>
          <w:ilvl w:val="0"/>
          <w:numId w:val="12"/>
        </w:numPr>
        <w:spacing w:line="240" w:lineRule="auto"/>
        <w:rPr>
          <w:rFonts w:ascii="Times New Roman" w:hAnsi="Times New Roman" w:cs="Times New Roman"/>
          <w:vanish/>
          <w:sz w:val="24"/>
          <w:szCs w:val="24"/>
        </w:rPr>
      </w:pPr>
    </w:p>
    <w:p w:rsidR="007E46C8" w:rsidRPr="007C32B4" w:rsidRDefault="007E46C8" w:rsidP="001A4B90">
      <w:pPr>
        <w:pStyle w:val="Akapitzlist"/>
        <w:numPr>
          <w:ilvl w:val="0"/>
          <w:numId w:val="12"/>
        </w:numPr>
        <w:spacing w:line="240" w:lineRule="auto"/>
        <w:rPr>
          <w:rFonts w:ascii="Times New Roman" w:hAnsi="Times New Roman" w:cs="Times New Roman"/>
          <w:vanish/>
          <w:sz w:val="24"/>
          <w:szCs w:val="24"/>
        </w:rPr>
      </w:pPr>
    </w:p>
    <w:p w:rsidR="007E46C8" w:rsidRPr="007C32B4" w:rsidRDefault="007E46C8" w:rsidP="001A4B90">
      <w:pPr>
        <w:pStyle w:val="Akapitzlist"/>
        <w:numPr>
          <w:ilvl w:val="1"/>
          <w:numId w:val="12"/>
        </w:numPr>
        <w:spacing w:line="240" w:lineRule="auto"/>
        <w:rPr>
          <w:rFonts w:ascii="Times New Roman" w:hAnsi="Times New Roman" w:cs="Times New Roman"/>
          <w:vanish/>
          <w:sz w:val="24"/>
          <w:szCs w:val="24"/>
        </w:rPr>
      </w:pPr>
    </w:p>
    <w:p w:rsidR="007E46C8" w:rsidRPr="007C32B4" w:rsidRDefault="007E46C8" w:rsidP="001A4B90">
      <w:pPr>
        <w:pStyle w:val="Akapitzlist"/>
        <w:numPr>
          <w:ilvl w:val="1"/>
          <w:numId w:val="12"/>
        </w:numPr>
        <w:spacing w:line="240" w:lineRule="auto"/>
        <w:rPr>
          <w:rFonts w:ascii="Times New Roman" w:hAnsi="Times New Roman" w:cs="Times New Roman"/>
          <w:vanish/>
          <w:sz w:val="24"/>
          <w:szCs w:val="24"/>
        </w:rPr>
      </w:pPr>
    </w:p>
    <w:p w:rsidR="007E46C8" w:rsidRPr="007C32B4" w:rsidRDefault="007E46C8" w:rsidP="001A4B90">
      <w:pPr>
        <w:pStyle w:val="Akapitzlist"/>
        <w:numPr>
          <w:ilvl w:val="2"/>
          <w:numId w:val="12"/>
        </w:numPr>
        <w:spacing w:line="240" w:lineRule="auto"/>
        <w:rPr>
          <w:rFonts w:ascii="Times New Roman" w:hAnsi="Times New Roman" w:cs="Times New Roman"/>
          <w:vanish/>
          <w:sz w:val="24"/>
          <w:szCs w:val="24"/>
        </w:rPr>
      </w:pPr>
    </w:p>
    <w:p w:rsidR="007E46C8" w:rsidRPr="007C32B4" w:rsidRDefault="007E46C8" w:rsidP="009A7B96">
      <w:pPr>
        <w:spacing w:line="240" w:lineRule="auto"/>
        <w:ind w:firstLine="708"/>
        <w:jc w:val="right"/>
        <w:rPr>
          <w:rFonts w:ascii="Times New Roman" w:hAnsi="Times New Roman" w:cs="Times New Roman"/>
          <w:sz w:val="24"/>
          <w:szCs w:val="24"/>
        </w:rPr>
      </w:pPr>
      <w:r w:rsidRPr="007C32B4">
        <w:rPr>
          <w:rFonts w:ascii="Times New Roman" w:hAnsi="Times New Roman" w:cs="Times New Roman"/>
          <w:sz w:val="24"/>
          <w:szCs w:val="24"/>
        </w:rPr>
        <w:t>2.3.1. Podstawowe dane o rynku książki</w:t>
      </w:r>
      <w:r w:rsidR="001A4B90" w:rsidRPr="007C32B4">
        <w:rPr>
          <w:rFonts w:ascii="Times New Roman" w:hAnsi="Times New Roman" w:cs="Times New Roman"/>
          <w:sz w:val="24"/>
          <w:szCs w:val="24"/>
        </w:rPr>
        <w:t>.</w:t>
      </w:r>
      <w:r w:rsidR="00012229" w:rsidRPr="007C32B4">
        <w:rPr>
          <w:rFonts w:ascii="Times New Roman" w:hAnsi="Times New Roman" w:cs="Times New Roman"/>
          <w:sz w:val="24"/>
          <w:szCs w:val="24"/>
        </w:rPr>
        <w:t>………………</w:t>
      </w:r>
      <w:r w:rsidR="001A4B90" w:rsidRPr="007C32B4">
        <w:rPr>
          <w:rFonts w:ascii="Times New Roman" w:hAnsi="Times New Roman" w:cs="Times New Roman"/>
          <w:sz w:val="24"/>
          <w:szCs w:val="24"/>
        </w:rPr>
        <w:t>………</w:t>
      </w:r>
      <w:r w:rsidR="00012229" w:rsidRPr="007C32B4">
        <w:rPr>
          <w:rFonts w:ascii="Times New Roman" w:hAnsi="Times New Roman" w:cs="Times New Roman"/>
          <w:sz w:val="24"/>
          <w:szCs w:val="24"/>
        </w:rPr>
        <w:t>……………</w:t>
      </w:r>
      <w:r w:rsidR="001A4B90" w:rsidRPr="007C32B4">
        <w:rPr>
          <w:rFonts w:ascii="Times New Roman" w:hAnsi="Times New Roman" w:cs="Times New Roman"/>
          <w:sz w:val="24"/>
          <w:szCs w:val="24"/>
        </w:rPr>
        <w:t>.</w:t>
      </w:r>
      <w:r w:rsidR="00012229" w:rsidRPr="007C32B4">
        <w:rPr>
          <w:rFonts w:ascii="Times New Roman" w:hAnsi="Times New Roman" w:cs="Times New Roman"/>
          <w:sz w:val="24"/>
          <w:szCs w:val="24"/>
        </w:rPr>
        <w:t>……</w:t>
      </w:r>
      <w:r w:rsidR="001A4B90" w:rsidRPr="007C32B4">
        <w:rPr>
          <w:rFonts w:ascii="Times New Roman" w:hAnsi="Times New Roman" w:cs="Times New Roman"/>
          <w:sz w:val="24"/>
          <w:szCs w:val="24"/>
        </w:rPr>
        <w:t xml:space="preserve">... </w:t>
      </w:r>
      <w:r w:rsidR="00012229" w:rsidRPr="007C32B4">
        <w:rPr>
          <w:rFonts w:ascii="Times New Roman" w:hAnsi="Times New Roman" w:cs="Times New Roman"/>
          <w:b/>
          <w:sz w:val="24"/>
          <w:szCs w:val="24"/>
        </w:rPr>
        <w:t>20</w:t>
      </w:r>
    </w:p>
    <w:p w:rsidR="007E46C8" w:rsidRPr="007C32B4" w:rsidRDefault="007E46C8" w:rsidP="001A4B90">
      <w:pPr>
        <w:pStyle w:val="Akapitzlist"/>
        <w:numPr>
          <w:ilvl w:val="0"/>
          <w:numId w:val="15"/>
        </w:numPr>
        <w:spacing w:line="240" w:lineRule="auto"/>
        <w:jc w:val="both"/>
        <w:rPr>
          <w:rFonts w:ascii="Times New Roman" w:hAnsi="Times New Roman" w:cs="Times New Roman"/>
          <w:vanish/>
          <w:sz w:val="24"/>
          <w:szCs w:val="24"/>
        </w:rPr>
      </w:pPr>
    </w:p>
    <w:p w:rsidR="007E46C8" w:rsidRPr="007C32B4" w:rsidRDefault="007E46C8" w:rsidP="001A4B90">
      <w:pPr>
        <w:pStyle w:val="Akapitzlist"/>
        <w:numPr>
          <w:ilvl w:val="0"/>
          <w:numId w:val="15"/>
        </w:numPr>
        <w:spacing w:line="240" w:lineRule="auto"/>
        <w:jc w:val="both"/>
        <w:rPr>
          <w:rFonts w:ascii="Times New Roman" w:hAnsi="Times New Roman" w:cs="Times New Roman"/>
          <w:vanish/>
          <w:sz w:val="24"/>
          <w:szCs w:val="24"/>
        </w:rPr>
      </w:pPr>
    </w:p>
    <w:p w:rsidR="007E46C8" w:rsidRPr="007C32B4" w:rsidRDefault="007E46C8" w:rsidP="001A4B90">
      <w:pPr>
        <w:pStyle w:val="Akapitzlist"/>
        <w:numPr>
          <w:ilvl w:val="1"/>
          <w:numId w:val="15"/>
        </w:numPr>
        <w:spacing w:line="240" w:lineRule="auto"/>
        <w:jc w:val="both"/>
        <w:rPr>
          <w:rFonts w:ascii="Times New Roman" w:hAnsi="Times New Roman" w:cs="Times New Roman"/>
          <w:vanish/>
          <w:sz w:val="24"/>
          <w:szCs w:val="24"/>
        </w:rPr>
      </w:pPr>
    </w:p>
    <w:p w:rsidR="007E46C8" w:rsidRPr="007C32B4" w:rsidRDefault="007E46C8" w:rsidP="001A4B90">
      <w:pPr>
        <w:pStyle w:val="Akapitzlist"/>
        <w:numPr>
          <w:ilvl w:val="1"/>
          <w:numId w:val="15"/>
        </w:numPr>
        <w:spacing w:line="240" w:lineRule="auto"/>
        <w:jc w:val="both"/>
        <w:rPr>
          <w:rFonts w:ascii="Times New Roman" w:hAnsi="Times New Roman" w:cs="Times New Roman"/>
          <w:vanish/>
          <w:sz w:val="24"/>
          <w:szCs w:val="24"/>
        </w:rPr>
      </w:pPr>
    </w:p>
    <w:p w:rsidR="007E46C8" w:rsidRPr="007C32B4" w:rsidRDefault="007E46C8" w:rsidP="009A7B96">
      <w:pPr>
        <w:pStyle w:val="Akapitzlist"/>
        <w:numPr>
          <w:ilvl w:val="2"/>
          <w:numId w:val="31"/>
        </w:numPr>
        <w:spacing w:line="240" w:lineRule="auto"/>
        <w:contextualSpacing/>
        <w:jc w:val="right"/>
        <w:rPr>
          <w:rFonts w:ascii="Times New Roman" w:hAnsi="Times New Roman" w:cs="Times New Roman"/>
          <w:sz w:val="24"/>
          <w:szCs w:val="24"/>
        </w:rPr>
      </w:pPr>
      <w:r w:rsidRPr="007C32B4">
        <w:rPr>
          <w:rFonts w:ascii="Times New Roman" w:hAnsi="Times New Roman" w:cs="Times New Roman"/>
          <w:sz w:val="24"/>
          <w:szCs w:val="24"/>
        </w:rPr>
        <w:t>Wydawnicze grupy strategiczne</w:t>
      </w:r>
      <w:r w:rsidR="00012229" w:rsidRPr="007C32B4">
        <w:rPr>
          <w:rFonts w:ascii="Times New Roman" w:hAnsi="Times New Roman" w:cs="Times New Roman"/>
          <w:sz w:val="24"/>
          <w:szCs w:val="24"/>
        </w:rPr>
        <w:t xml:space="preserve"> ……</w:t>
      </w:r>
      <w:r w:rsidR="001A4B90" w:rsidRPr="007C32B4">
        <w:rPr>
          <w:rFonts w:ascii="Times New Roman" w:hAnsi="Times New Roman" w:cs="Times New Roman"/>
          <w:sz w:val="24"/>
          <w:szCs w:val="24"/>
        </w:rPr>
        <w:t>..</w:t>
      </w:r>
      <w:r w:rsidR="00012229" w:rsidRPr="007C32B4">
        <w:rPr>
          <w:rFonts w:ascii="Times New Roman" w:hAnsi="Times New Roman" w:cs="Times New Roman"/>
          <w:sz w:val="24"/>
          <w:szCs w:val="24"/>
        </w:rPr>
        <w:t>……</w:t>
      </w:r>
      <w:r w:rsidR="001A4B90" w:rsidRPr="007C32B4">
        <w:rPr>
          <w:rFonts w:ascii="Times New Roman" w:hAnsi="Times New Roman" w:cs="Times New Roman"/>
          <w:sz w:val="24"/>
          <w:szCs w:val="24"/>
        </w:rPr>
        <w:t>…</w:t>
      </w:r>
      <w:r w:rsidR="00012229" w:rsidRPr="007C32B4">
        <w:rPr>
          <w:rFonts w:ascii="Times New Roman" w:hAnsi="Times New Roman" w:cs="Times New Roman"/>
          <w:sz w:val="24"/>
          <w:szCs w:val="24"/>
        </w:rPr>
        <w:t>…………</w:t>
      </w:r>
      <w:r w:rsidR="001A4B90" w:rsidRPr="007C32B4">
        <w:rPr>
          <w:rFonts w:ascii="Times New Roman" w:hAnsi="Times New Roman" w:cs="Times New Roman"/>
          <w:sz w:val="24"/>
          <w:szCs w:val="24"/>
        </w:rPr>
        <w:t>.</w:t>
      </w:r>
      <w:r w:rsidR="00012229" w:rsidRPr="007C32B4">
        <w:rPr>
          <w:rFonts w:ascii="Times New Roman" w:hAnsi="Times New Roman" w:cs="Times New Roman"/>
          <w:sz w:val="24"/>
          <w:szCs w:val="24"/>
        </w:rPr>
        <w:t>…..…………</w:t>
      </w:r>
      <w:r w:rsidR="001A4B90" w:rsidRPr="007C32B4">
        <w:rPr>
          <w:rFonts w:ascii="Times New Roman" w:hAnsi="Times New Roman" w:cs="Times New Roman"/>
          <w:sz w:val="24"/>
          <w:szCs w:val="24"/>
        </w:rPr>
        <w:t>..</w:t>
      </w:r>
      <w:r w:rsidR="00012229" w:rsidRPr="007C32B4">
        <w:rPr>
          <w:rFonts w:ascii="Times New Roman" w:hAnsi="Times New Roman" w:cs="Times New Roman"/>
          <w:sz w:val="24"/>
          <w:szCs w:val="24"/>
        </w:rPr>
        <w:t>…....</w:t>
      </w:r>
      <w:r w:rsidR="00012229" w:rsidRPr="007C32B4">
        <w:rPr>
          <w:rFonts w:ascii="Times New Roman" w:hAnsi="Times New Roman" w:cs="Times New Roman"/>
          <w:b/>
          <w:sz w:val="24"/>
          <w:szCs w:val="24"/>
        </w:rPr>
        <w:t>22</w:t>
      </w:r>
    </w:p>
    <w:p w:rsidR="001A4B90" w:rsidRPr="007C32B4" w:rsidRDefault="007E46C8" w:rsidP="009A7B96">
      <w:pPr>
        <w:spacing w:line="240" w:lineRule="auto"/>
        <w:ind w:firstLine="708"/>
        <w:jc w:val="right"/>
        <w:rPr>
          <w:rFonts w:ascii="Times New Roman" w:hAnsi="Times New Roman" w:cs="Times New Roman"/>
          <w:sz w:val="24"/>
          <w:szCs w:val="24"/>
        </w:rPr>
      </w:pPr>
      <w:r w:rsidRPr="007C32B4">
        <w:rPr>
          <w:rFonts w:ascii="Times New Roman" w:hAnsi="Times New Roman" w:cs="Times New Roman"/>
          <w:sz w:val="24"/>
          <w:szCs w:val="24"/>
        </w:rPr>
        <w:t>2.3.3. Zatrudnienie w wydawnictwach</w:t>
      </w:r>
      <w:r w:rsidR="00012229" w:rsidRPr="007C32B4">
        <w:rPr>
          <w:rFonts w:ascii="Times New Roman" w:hAnsi="Times New Roman" w:cs="Times New Roman"/>
          <w:sz w:val="24"/>
          <w:szCs w:val="24"/>
        </w:rPr>
        <w:t xml:space="preserve"> ……………………………</w:t>
      </w:r>
      <w:r w:rsidR="001A4B90" w:rsidRPr="007C32B4">
        <w:rPr>
          <w:rFonts w:ascii="Times New Roman" w:hAnsi="Times New Roman" w:cs="Times New Roman"/>
          <w:sz w:val="24"/>
          <w:szCs w:val="24"/>
        </w:rPr>
        <w:t>.</w:t>
      </w:r>
      <w:r w:rsidR="00012229" w:rsidRPr="007C32B4">
        <w:rPr>
          <w:rFonts w:ascii="Times New Roman" w:hAnsi="Times New Roman" w:cs="Times New Roman"/>
          <w:sz w:val="24"/>
          <w:szCs w:val="24"/>
        </w:rPr>
        <w:t>………...……….</w:t>
      </w:r>
      <w:r w:rsidR="00012229" w:rsidRPr="007C32B4">
        <w:rPr>
          <w:rFonts w:ascii="Times New Roman" w:hAnsi="Times New Roman" w:cs="Times New Roman"/>
          <w:b/>
          <w:sz w:val="24"/>
          <w:szCs w:val="24"/>
        </w:rPr>
        <w:t>26</w:t>
      </w:r>
    </w:p>
    <w:p w:rsidR="007E46C8" w:rsidRPr="007C32B4" w:rsidRDefault="001A4B90" w:rsidP="009A7B96">
      <w:pPr>
        <w:spacing w:line="240" w:lineRule="auto"/>
        <w:ind w:firstLine="708"/>
        <w:jc w:val="right"/>
        <w:rPr>
          <w:rFonts w:ascii="Times New Roman" w:hAnsi="Times New Roman" w:cs="Times New Roman"/>
          <w:sz w:val="24"/>
          <w:szCs w:val="24"/>
        </w:rPr>
      </w:pPr>
      <w:r w:rsidRPr="007C32B4">
        <w:rPr>
          <w:rFonts w:ascii="Times New Roman" w:hAnsi="Times New Roman" w:cs="Times New Roman"/>
          <w:sz w:val="24"/>
          <w:szCs w:val="24"/>
        </w:rPr>
        <w:t xml:space="preserve">2.3.4. </w:t>
      </w:r>
      <w:r w:rsidR="007E46C8" w:rsidRPr="007C32B4">
        <w:rPr>
          <w:rFonts w:ascii="Times New Roman" w:hAnsi="Times New Roman" w:cs="Times New Roman"/>
          <w:sz w:val="24"/>
          <w:szCs w:val="24"/>
        </w:rPr>
        <w:t>Sprzedaż produkcji wydawniczej książek drukowanych</w:t>
      </w:r>
      <w:r w:rsidR="00012229" w:rsidRPr="007C32B4">
        <w:rPr>
          <w:rFonts w:ascii="Times New Roman" w:hAnsi="Times New Roman" w:cs="Times New Roman"/>
          <w:sz w:val="24"/>
          <w:szCs w:val="24"/>
        </w:rPr>
        <w:t xml:space="preserve"> ………………</w:t>
      </w:r>
      <w:r w:rsidR="00E27D2D" w:rsidRPr="007C32B4">
        <w:rPr>
          <w:rFonts w:ascii="Times New Roman" w:hAnsi="Times New Roman" w:cs="Times New Roman"/>
          <w:sz w:val="24"/>
          <w:szCs w:val="24"/>
        </w:rPr>
        <w:t>…</w:t>
      </w:r>
      <w:r w:rsidRPr="007C32B4">
        <w:rPr>
          <w:rFonts w:ascii="Times New Roman" w:hAnsi="Times New Roman" w:cs="Times New Roman"/>
          <w:sz w:val="24"/>
          <w:szCs w:val="24"/>
        </w:rPr>
        <w:t>….</w:t>
      </w:r>
      <w:r w:rsidR="00012229" w:rsidRPr="007C32B4">
        <w:rPr>
          <w:rFonts w:ascii="Times New Roman" w:hAnsi="Times New Roman" w:cs="Times New Roman"/>
          <w:sz w:val="24"/>
          <w:szCs w:val="24"/>
        </w:rPr>
        <w:t>..</w:t>
      </w:r>
      <w:r w:rsidR="00012229" w:rsidRPr="007C32B4">
        <w:rPr>
          <w:rFonts w:ascii="Times New Roman" w:hAnsi="Times New Roman" w:cs="Times New Roman"/>
          <w:b/>
          <w:sz w:val="24"/>
          <w:szCs w:val="24"/>
        </w:rPr>
        <w:t>3</w:t>
      </w:r>
      <w:r w:rsidR="003A3F63" w:rsidRPr="007C32B4">
        <w:rPr>
          <w:rFonts w:ascii="Times New Roman" w:hAnsi="Times New Roman" w:cs="Times New Roman"/>
          <w:b/>
          <w:sz w:val="24"/>
          <w:szCs w:val="24"/>
        </w:rPr>
        <w:t>2</w:t>
      </w:r>
      <w:r w:rsidR="00012229" w:rsidRPr="007C32B4">
        <w:rPr>
          <w:rFonts w:ascii="Times New Roman" w:hAnsi="Times New Roman" w:cs="Times New Roman"/>
          <w:sz w:val="24"/>
          <w:szCs w:val="24"/>
        </w:rPr>
        <w:t xml:space="preserve"> </w:t>
      </w:r>
    </w:p>
    <w:p w:rsidR="007E46C8" w:rsidRPr="007C32B4" w:rsidRDefault="007E46C8" w:rsidP="007E46C8">
      <w:pPr>
        <w:pStyle w:val="Akapitzlist"/>
        <w:numPr>
          <w:ilvl w:val="0"/>
          <w:numId w:val="3"/>
        </w:numPr>
        <w:spacing w:line="360" w:lineRule="auto"/>
        <w:rPr>
          <w:rFonts w:ascii="Times New Roman" w:hAnsi="Times New Roman" w:cs="Times New Roman"/>
          <w:vanish/>
          <w:sz w:val="24"/>
          <w:szCs w:val="24"/>
        </w:rPr>
      </w:pPr>
    </w:p>
    <w:p w:rsidR="007E46C8" w:rsidRPr="007C32B4" w:rsidRDefault="007E46C8" w:rsidP="007E46C8">
      <w:pPr>
        <w:pStyle w:val="Akapitzlist"/>
        <w:numPr>
          <w:ilvl w:val="0"/>
          <w:numId w:val="3"/>
        </w:numPr>
        <w:spacing w:line="360" w:lineRule="auto"/>
        <w:rPr>
          <w:rFonts w:ascii="Times New Roman" w:hAnsi="Times New Roman" w:cs="Times New Roman"/>
          <w:vanish/>
          <w:sz w:val="24"/>
          <w:szCs w:val="24"/>
        </w:rPr>
      </w:pPr>
    </w:p>
    <w:p w:rsidR="007E46C8" w:rsidRPr="007C32B4" w:rsidRDefault="007E46C8" w:rsidP="007E46C8">
      <w:pPr>
        <w:pStyle w:val="Akapitzlist"/>
        <w:numPr>
          <w:ilvl w:val="1"/>
          <w:numId w:val="3"/>
        </w:numPr>
        <w:spacing w:line="360" w:lineRule="auto"/>
        <w:rPr>
          <w:rFonts w:ascii="Times New Roman" w:hAnsi="Times New Roman" w:cs="Times New Roman"/>
          <w:vanish/>
          <w:sz w:val="24"/>
          <w:szCs w:val="24"/>
        </w:rPr>
      </w:pPr>
    </w:p>
    <w:p w:rsidR="007E46C8" w:rsidRPr="007C32B4" w:rsidRDefault="007E46C8" w:rsidP="007E46C8">
      <w:pPr>
        <w:pStyle w:val="Akapitzlist"/>
        <w:numPr>
          <w:ilvl w:val="2"/>
          <w:numId w:val="3"/>
        </w:numPr>
        <w:spacing w:line="360" w:lineRule="auto"/>
        <w:rPr>
          <w:rFonts w:ascii="Times New Roman" w:hAnsi="Times New Roman" w:cs="Times New Roman"/>
          <w:vanish/>
          <w:sz w:val="24"/>
          <w:szCs w:val="24"/>
        </w:rPr>
      </w:pPr>
    </w:p>
    <w:p w:rsidR="007E46C8" w:rsidRPr="007C32B4" w:rsidRDefault="007E46C8" w:rsidP="007E46C8">
      <w:pPr>
        <w:pStyle w:val="Akapitzlist"/>
        <w:numPr>
          <w:ilvl w:val="2"/>
          <w:numId w:val="3"/>
        </w:numPr>
        <w:spacing w:line="360" w:lineRule="auto"/>
        <w:rPr>
          <w:rFonts w:ascii="Times New Roman" w:hAnsi="Times New Roman" w:cs="Times New Roman"/>
          <w:vanish/>
          <w:sz w:val="24"/>
          <w:szCs w:val="24"/>
        </w:rPr>
      </w:pPr>
    </w:p>
    <w:p w:rsidR="007E46C8" w:rsidRPr="007C32B4" w:rsidRDefault="007E46C8" w:rsidP="007E46C8">
      <w:pPr>
        <w:pStyle w:val="Akapitzlist"/>
        <w:numPr>
          <w:ilvl w:val="2"/>
          <w:numId w:val="3"/>
        </w:numPr>
        <w:spacing w:line="360" w:lineRule="auto"/>
        <w:rPr>
          <w:rFonts w:ascii="Times New Roman" w:hAnsi="Times New Roman" w:cs="Times New Roman"/>
          <w:vanish/>
          <w:sz w:val="24"/>
          <w:szCs w:val="24"/>
        </w:rPr>
      </w:pPr>
    </w:p>
    <w:p w:rsidR="007E46C8" w:rsidRPr="007C32B4" w:rsidRDefault="007E46C8" w:rsidP="007E46C8">
      <w:pPr>
        <w:pStyle w:val="Akapitzlist"/>
        <w:numPr>
          <w:ilvl w:val="2"/>
          <w:numId w:val="3"/>
        </w:numPr>
        <w:spacing w:line="360" w:lineRule="auto"/>
        <w:rPr>
          <w:rFonts w:ascii="Times New Roman" w:hAnsi="Times New Roman" w:cs="Times New Roman"/>
          <w:vanish/>
          <w:sz w:val="24"/>
          <w:szCs w:val="24"/>
        </w:rPr>
      </w:pPr>
    </w:p>
    <w:p w:rsidR="007E46C8" w:rsidRPr="007C32B4" w:rsidRDefault="007E46C8" w:rsidP="009A7B96">
      <w:pPr>
        <w:spacing w:line="360" w:lineRule="auto"/>
        <w:ind w:firstLine="708"/>
        <w:jc w:val="right"/>
        <w:rPr>
          <w:rFonts w:ascii="Times New Roman" w:hAnsi="Times New Roman" w:cs="Times New Roman"/>
          <w:sz w:val="24"/>
          <w:szCs w:val="24"/>
        </w:rPr>
      </w:pPr>
      <w:r w:rsidRPr="007C32B4">
        <w:rPr>
          <w:rFonts w:ascii="Times New Roman" w:hAnsi="Times New Roman" w:cs="Times New Roman"/>
          <w:sz w:val="24"/>
          <w:szCs w:val="24"/>
        </w:rPr>
        <w:t>2.3.5. Dystrybucja</w:t>
      </w:r>
      <w:r w:rsidR="00012229" w:rsidRPr="007C32B4">
        <w:rPr>
          <w:rFonts w:ascii="Times New Roman" w:hAnsi="Times New Roman" w:cs="Times New Roman"/>
          <w:sz w:val="24"/>
          <w:szCs w:val="24"/>
        </w:rPr>
        <w:t xml:space="preserve"> …………………………………………………...……………….</w:t>
      </w:r>
      <w:r w:rsidR="00012229" w:rsidRPr="007C32B4">
        <w:rPr>
          <w:rFonts w:ascii="Times New Roman" w:hAnsi="Times New Roman" w:cs="Times New Roman"/>
          <w:b/>
          <w:sz w:val="24"/>
          <w:szCs w:val="24"/>
        </w:rPr>
        <w:t>34</w:t>
      </w:r>
    </w:p>
    <w:p w:rsidR="007E46C8" w:rsidRPr="007C32B4" w:rsidRDefault="007E46C8" w:rsidP="009A7B96">
      <w:pPr>
        <w:spacing w:line="360" w:lineRule="auto"/>
        <w:ind w:firstLine="708"/>
        <w:jc w:val="right"/>
        <w:rPr>
          <w:rFonts w:ascii="Times New Roman" w:hAnsi="Times New Roman" w:cs="Times New Roman"/>
          <w:sz w:val="24"/>
          <w:szCs w:val="24"/>
        </w:rPr>
      </w:pPr>
      <w:r w:rsidRPr="007C32B4">
        <w:rPr>
          <w:rFonts w:ascii="Times New Roman" w:hAnsi="Times New Roman" w:cs="Times New Roman"/>
          <w:sz w:val="24"/>
          <w:szCs w:val="24"/>
        </w:rPr>
        <w:t>2.3.6. Podsumowanie sytuacji polskich wydawnictw</w:t>
      </w:r>
      <w:r w:rsidR="001A4B90" w:rsidRPr="007C32B4">
        <w:rPr>
          <w:rFonts w:ascii="Times New Roman" w:hAnsi="Times New Roman" w:cs="Times New Roman"/>
          <w:sz w:val="24"/>
          <w:szCs w:val="24"/>
        </w:rPr>
        <w:t xml:space="preserve"> ……………………………..…</w:t>
      </w:r>
      <w:r w:rsidR="001A4B90" w:rsidRPr="007C32B4">
        <w:rPr>
          <w:rFonts w:ascii="Times New Roman" w:hAnsi="Times New Roman" w:cs="Times New Roman"/>
          <w:b/>
          <w:sz w:val="24"/>
          <w:szCs w:val="24"/>
        </w:rPr>
        <w:t>37</w:t>
      </w:r>
      <w:r w:rsidR="001A4B90" w:rsidRPr="007C32B4">
        <w:rPr>
          <w:rFonts w:ascii="Times New Roman" w:hAnsi="Times New Roman" w:cs="Times New Roman"/>
          <w:sz w:val="24"/>
          <w:szCs w:val="24"/>
        </w:rPr>
        <w:t xml:space="preserve"> </w:t>
      </w:r>
    </w:p>
    <w:p w:rsidR="007E46C8" w:rsidRPr="007C32B4" w:rsidRDefault="007E46C8" w:rsidP="009A7B96">
      <w:pPr>
        <w:spacing w:line="360" w:lineRule="auto"/>
        <w:rPr>
          <w:rFonts w:ascii="Times New Roman" w:hAnsi="Times New Roman" w:cs="Times New Roman"/>
          <w:b/>
          <w:sz w:val="24"/>
          <w:szCs w:val="24"/>
        </w:rPr>
      </w:pPr>
      <w:r w:rsidRPr="007C32B4">
        <w:rPr>
          <w:rFonts w:ascii="Times New Roman" w:hAnsi="Times New Roman" w:cs="Times New Roman"/>
          <w:b/>
          <w:sz w:val="24"/>
          <w:szCs w:val="24"/>
        </w:rPr>
        <w:t>2.4. Czynniki wpływające na kryzys rynku wydawniczego i oczekiwania dotyczące działań Polskiej Izby Książki</w:t>
      </w:r>
      <w:r w:rsidR="001A4B90" w:rsidRPr="007C32B4">
        <w:rPr>
          <w:rFonts w:ascii="Times New Roman" w:hAnsi="Times New Roman" w:cs="Times New Roman"/>
          <w:sz w:val="24"/>
          <w:szCs w:val="24"/>
        </w:rPr>
        <w:t xml:space="preserve"> ………………………</w:t>
      </w:r>
      <w:r w:rsidR="00DA36FC" w:rsidRPr="007C32B4">
        <w:rPr>
          <w:rFonts w:ascii="Times New Roman" w:hAnsi="Times New Roman" w:cs="Times New Roman"/>
          <w:sz w:val="24"/>
          <w:szCs w:val="24"/>
        </w:rPr>
        <w:t>………...</w:t>
      </w:r>
      <w:r w:rsidR="001A4B90" w:rsidRPr="007C32B4">
        <w:rPr>
          <w:rFonts w:ascii="Times New Roman" w:hAnsi="Times New Roman" w:cs="Times New Roman"/>
          <w:sz w:val="24"/>
          <w:szCs w:val="24"/>
        </w:rPr>
        <w:t>………</w:t>
      </w:r>
      <w:r w:rsidR="00E27D2D" w:rsidRPr="007C32B4">
        <w:rPr>
          <w:rFonts w:ascii="Times New Roman" w:hAnsi="Times New Roman" w:cs="Times New Roman"/>
          <w:sz w:val="24"/>
          <w:szCs w:val="24"/>
        </w:rPr>
        <w:t>.</w:t>
      </w:r>
      <w:r w:rsidR="001A4B90" w:rsidRPr="007C32B4">
        <w:rPr>
          <w:rFonts w:ascii="Times New Roman" w:hAnsi="Times New Roman" w:cs="Times New Roman"/>
          <w:sz w:val="24"/>
          <w:szCs w:val="24"/>
        </w:rPr>
        <w:t>……………….</w:t>
      </w:r>
      <w:r w:rsidR="009A7B96" w:rsidRPr="007C32B4">
        <w:rPr>
          <w:rFonts w:ascii="Times New Roman" w:hAnsi="Times New Roman" w:cs="Times New Roman"/>
          <w:sz w:val="24"/>
          <w:szCs w:val="24"/>
        </w:rPr>
        <w:t>.</w:t>
      </w:r>
      <w:r w:rsidR="001A4B90" w:rsidRPr="007C32B4">
        <w:rPr>
          <w:rFonts w:ascii="Times New Roman" w:hAnsi="Times New Roman" w:cs="Times New Roman"/>
          <w:sz w:val="24"/>
          <w:szCs w:val="24"/>
        </w:rPr>
        <w:t>..…</w:t>
      </w:r>
      <w:r w:rsidR="001A4B90" w:rsidRPr="007C32B4">
        <w:rPr>
          <w:rFonts w:ascii="Times New Roman" w:hAnsi="Times New Roman" w:cs="Times New Roman"/>
          <w:b/>
          <w:sz w:val="24"/>
          <w:szCs w:val="24"/>
        </w:rPr>
        <w:t>41</w:t>
      </w:r>
    </w:p>
    <w:p w:rsidR="00082D34" w:rsidRPr="007C32B4" w:rsidRDefault="00082D34">
      <w:pPr>
        <w:spacing w:after="0" w:line="240" w:lineRule="auto"/>
        <w:rPr>
          <w:rFonts w:ascii="Times New Roman" w:hAnsi="Times New Roman" w:cs="Times New Roman"/>
          <w:b/>
          <w:bCs/>
          <w:sz w:val="24"/>
          <w:szCs w:val="24"/>
        </w:rPr>
      </w:pPr>
      <w:r w:rsidRPr="007C32B4">
        <w:rPr>
          <w:rFonts w:ascii="Times New Roman" w:hAnsi="Times New Roman" w:cs="Times New Roman"/>
          <w:b/>
          <w:bCs/>
          <w:sz w:val="24"/>
          <w:szCs w:val="24"/>
        </w:rPr>
        <w:br w:type="page"/>
      </w:r>
    </w:p>
    <w:p w:rsidR="00DD4395" w:rsidRPr="00134B3E" w:rsidRDefault="007F1054" w:rsidP="00C214EB">
      <w:pPr>
        <w:pStyle w:val="Akapitzlist"/>
        <w:numPr>
          <w:ilvl w:val="0"/>
          <w:numId w:val="9"/>
        </w:numPr>
        <w:spacing w:line="360" w:lineRule="auto"/>
        <w:rPr>
          <w:rFonts w:ascii="Times New Roman" w:hAnsi="Times New Roman" w:cs="Times New Roman"/>
          <w:b/>
          <w:sz w:val="26"/>
          <w:szCs w:val="26"/>
        </w:rPr>
      </w:pPr>
      <w:r w:rsidRPr="00134B3E">
        <w:rPr>
          <w:rFonts w:ascii="Times New Roman" w:hAnsi="Times New Roman" w:cs="Times New Roman"/>
          <w:b/>
          <w:sz w:val="26"/>
          <w:szCs w:val="26"/>
        </w:rPr>
        <w:lastRenderedPageBreak/>
        <w:t>Wstęp</w:t>
      </w:r>
    </w:p>
    <w:p w:rsidR="00F206A9" w:rsidRDefault="00F206A9" w:rsidP="00710B2C">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Badając rynek książki </w:t>
      </w:r>
      <w:r w:rsidR="00CB1EDA">
        <w:rPr>
          <w:rFonts w:ascii="Times New Roman" w:hAnsi="Times New Roman" w:cs="Times New Roman"/>
          <w:sz w:val="24"/>
          <w:szCs w:val="24"/>
        </w:rPr>
        <w:t xml:space="preserve">w Polsce </w:t>
      </w:r>
      <w:r>
        <w:rPr>
          <w:rFonts w:ascii="Times New Roman" w:hAnsi="Times New Roman" w:cs="Times New Roman"/>
          <w:sz w:val="24"/>
          <w:szCs w:val="24"/>
        </w:rPr>
        <w:t>można znaleźć informacj</w:t>
      </w:r>
      <w:r w:rsidR="00CB1EDA">
        <w:rPr>
          <w:rFonts w:ascii="Times New Roman" w:hAnsi="Times New Roman" w:cs="Times New Roman"/>
          <w:sz w:val="24"/>
          <w:szCs w:val="24"/>
        </w:rPr>
        <w:t>e</w:t>
      </w:r>
      <w:r>
        <w:rPr>
          <w:rFonts w:ascii="Times New Roman" w:hAnsi="Times New Roman" w:cs="Times New Roman"/>
          <w:sz w:val="24"/>
          <w:szCs w:val="24"/>
        </w:rPr>
        <w:t xml:space="preserve"> o tytułach, rodzajach wydawnictw</w:t>
      </w:r>
      <w:r w:rsidR="004079D2">
        <w:rPr>
          <w:rFonts w:ascii="Times New Roman" w:hAnsi="Times New Roman" w:cs="Times New Roman"/>
          <w:sz w:val="24"/>
          <w:szCs w:val="24"/>
        </w:rPr>
        <w:t>, sprzedaży,</w:t>
      </w:r>
      <w:r>
        <w:rPr>
          <w:rFonts w:ascii="Times New Roman" w:hAnsi="Times New Roman" w:cs="Times New Roman"/>
          <w:sz w:val="24"/>
          <w:szCs w:val="24"/>
        </w:rPr>
        <w:t xml:space="preserve"> itp., trudniej </w:t>
      </w:r>
      <w:r w:rsidR="003A4FAA">
        <w:rPr>
          <w:rFonts w:ascii="Times New Roman" w:hAnsi="Times New Roman" w:cs="Times New Roman"/>
          <w:sz w:val="24"/>
          <w:szCs w:val="24"/>
        </w:rPr>
        <w:t>znaleźć</w:t>
      </w:r>
      <w:r>
        <w:rPr>
          <w:rFonts w:ascii="Times New Roman" w:hAnsi="Times New Roman" w:cs="Times New Roman"/>
          <w:sz w:val="24"/>
          <w:szCs w:val="24"/>
        </w:rPr>
        <w:t xml:space="preserve"> informacje o </w:t>
      </w:r>
      <w:r w:rsidR="003A4FAA">
        <w:rPr>
          <w:rFonts w:ascii="Times New Roman" w:hAnsi="Times New Roman" w:cs="Times New Roman"/>
          <w:sz w:val="24"/>
          <w:szCs w:val="24"/>
        </w:rPr>
        <w:t>wydawnictwach jako przedsiębiorstwach</w:t>
      </w:r>
      <w:r>
        <w:rPr>
          <w:rFonts w:ascii="Times New Roman" w:hAnsi="Times New Roman" w:cs="Times New Roman"/>
          <w:sz w:val="24"/>
          <w:szCs w:val="24"/>
        </w:rPr>
        <w:t xml:space="preserve">. Wydawnictwa są przedsiębiorstwami, niezależnie od wielkości podlegają procesom zarządzania, a to wymaga jak najpełniejszej wiedzy o rynku, o </w:t>
      </w:r>
      <w:r w:rsidR="004079D2">
        <w:rPr>
          <w:rFonts w:ascii="Times New Roman" w:hAnsi="Times New Roman" w:cs="Times New Roman"/>
          <w:sz w:val="24"/>
          <w:szCs w:val="24"/>
        </w:rPr>
        <w:t xml:space="preserve">innych </w:t>
      </w:r>
      <w:r>
        <w:rPr>
          <w:rFonts w:ascii="Times New Roman" w:hAnsi="Times New Roman" w:cs="Times New Roman"/>
          <w:sz w:val="24"/>
          <w:szCs w:val="24"/>
        </w:rPr>
        <w:t>wydaw</w:t>
      </w:r>
      <w:r w:rsidR="00394E45">
        <w:rPr>
          <w:rFonts w:ascii="Times New Roman" w:hAnsi="Times New Roman" w:cs="Times New Roman"/>
          <w:sz w:val="24"/>
          <w:szCs w:val="24"/>
        </w:rPr>
        <w:t>cach</w:t>
      </w:r>
      <w:r>
        <w:rPr>
          <w:rFonts w:ascii="Times New Roman" w:hAnsi="Times New Roman" w:cs="Times New Roman"/>
          <w:sz w:val="24"/>
          <w:szCs w:val="24"/>
        </w:rPr>
        <w:t xml:space="preserve">. </w:t>
      </w:r>
      <w:r w:rsidR="00E41AEE">
        <w:rPr>
          <w:rFonts w:ascii="Times New Roman" w:hAnsi="Times New Roman" w:cs="Times New Roman"/>
          <w:sz w:val="24"/>
          <w:szCs w:val="24"/>
        </w:rPr>
        <w:t xml:space="preserve">Realizacja idei </w:t>
      </w:r>
      <w:r w:rsidR="00E41AEE" w:rsidRPr="00E41AEE">
        <w:rPr>
          <w:rFonts w:ascii="Times New Roman" w:hAnsi="Times New Roman" w:cs="Times New Roman"/>
          <w:sz w:val="24"/>
          <w:szCs w:val="24"/>
        </w:rPr>
        <w:t>ustanowieni</w:t>
      </w:r>
      <w:r w:rsidR="00E41AEE">
        <w:rPr>
          <w:rFonts w:ascii="Times New Roman" w:hAnsi="Times New Roman" w:cs="Times New Roman"/>
          <w:sz w:val="24"/>
          <w:szCs w:val="24"/>
        </w:rPr>
        <w:t>a</w:t>
      </w:r>
      <w:r w:rsidR="00E41AEE" w:rsidRPr="00E41AEE">
        <w:rPr>
          <w:rFonts w:ascii="Times New Roman" w:hAnsi="Times New Roman" w:cs="Times New Roman"/>
          <w:sz w:val="24"/>
          <w:szCs w:val="24"/>
        </w:rPr>
        <w:t xml:space="preserve"> stałego monitoringu </w:t>
      </w:r>
      <w:r w:rsidR="00E41AEE">
        <w:rPr>
          <w:rFonts w:ascii="Times New Roman" w:hAnsi="Times New Roman" w:cs="Times New Roman"/>
          <w:sz w:val="24"/>
          <w:szCs w:val="24"/>
        </w:rPr>
        <w:t xml:space="preserve">rozwoju rynku książki </w:t>
      </w:r>
      <w:r w:rsidR="00CB1EDA">
        <w:rPr>
          <w:rFonts w:ascii="Times New Roman" w:hAnsi="Times New Roman" w:cs="Times New Roman"/>
          <w:sz w:val="24"/>
          <w:szCs w:val="24"/>
        </w:rPr>
        <w:t>od strony produkcji i dystrybucji wydawniczej na bazie danych od wydawców ma na celu wychwycenie trendów i udost</w:t>
      </w:r>
      <w:r w:rsidR="003A4FAA">
        <w:rPr>
          <w:rFonts w:ascii="Times New Roman" w:hAnsi="Times New Roman" w:cs="Times New Roman"/>
          <w:sz w:val="24"/>
          <w:szCs w:val="24"/>
        </w:rPr>
        <w:t>ę</w:t>
      </w:r>
      <w:r w:rsidR="00CB1EDA">
        <w:rPr>
          <w:rFonts w:ascii="Times New Roman" w:hAnsi="Times New Roman" w:cs="Times New Roman"/>
          <w:sz w:val="24"/>
          <w:szCs w:val="24"/>
        </w:rPr>
        <w:t xml:space="preserve">pnienie podmiotom branży jak najszerszej wiedzy w tym zakresie. </w:t>
      </w:r>
      <w:r w:rsidR="00E2455D">
        <w:rPr>
          <w:rFonts w:ascii="Times New Roman" w:hAnsi="Times New Roman" w:cs="Times New Roman"/>
          <w:sz w:val="24"/>
          <w:szCs w:val="24"/>
        </w:rPr>
        <w:t>Cel ten osiągnąć można przy</w:t>
      </w:r>
      <w:r w:rsidR="00E41AEE">
        <w:rPr>
          <w:rFonts w:ascii="Times New Roman" w:hAnsi="Times New Roman" w:cs="Times New Roman"/>
          <w:sz w:val="24"/>
          <w:szCs w:val="24"/>
        </w:rPr>
        <w:t xml:space="preserve"> spełnieni</w:t>
      </w:r>
      <w:r w:rsidR="00E2455D">
        <w:rPr>
          <w:rFonts w:ascii="Times New Roman" w:hAnsi="Times New Roman" w:cs="Times New Roman"/>
          <w:sz w:val="24"/>
          <w:szCs w:val="24"/>
        </w:rPr>
        <w:t xml:space="preserve">u </w:t>
      </w:r>
      <w:r w:rsidR="00481F4B">
        <w:rPr>
          <w:rFonts w:ascii="Times New Roman" w:hAnsi="Times New Roman" w:cs="Times New Roman"/>
          <w:sz w:val="24"/>
          <w:szCs w:val="24"/>
        </w:rPr>
        <w:t>co najmniej jednego warunku</w:t>
      </w:r>
      <w:r w:rsidR="003A4FAA">
        <w:rPr>
          <w:rFonts w:ascii="Times New Roman" w:hAnsi="Times New Roman" w:cs="Times New Roman"/>
          <w:sz w:val="24"/>
          <w:szCs w:val="24"/>
        </w:rPr>
        <w:t xml:space="preserve"> –</w:t>
      </w:r>
      <w:r w:rsidR="00E2455D">
        <w:rPr>
          <w:rFonts w:ascii="Times New Roman" w:hAnsi="Times New Roman" w:cs="Times New Roman"/>
          <w:sz w:val="24"/>
          <w:szCs w:val="24"/>
        </w:rPr>
        <w:t xml:space="preserve"> systematycznego pozyskiwania  </w:t>
      </w:r>
      <w:r w:rsidR="003A4FAA">
        <w:rPr>
          <w:rFonts w:ascii="Times New Roman" w:hAnsi="Times New Roman" w:cs="Times New Roman"/>
          <w:sz w:val="24"/>
          <w:szCs w:val="24"/>
        </w:rPr>
        <w:t xml:space="preserve">wiarygodnych </w:t>
      </w:r>
      <w:r w:rsidR="00E2455D">
        <w:rPr>
          <w:rFonts w:ascii="Times New Roman" w:hAnsi="Times New Roman" w:cs="Times New Roman"/>
          <w:sz w:val="24"/>
          <w:szCs w:val="24"/>
        </w:rPr>
        <w:t xml:space="preserve">danych. </w:t>
      </w:r>
    </w:p>
    <w:p w:rsidR="00A10C82" w:rsidRDefault="00F206A9" w:rsidP="003F61DD">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Z informacją o </w:t>
      </w:r>
      <w:r w:rsidR="00191E3C">
        <w:rPr>
          <w:rFonts w:ascii="Times New Roman" w:hAnsi="Times New Roman" w:cs="Times New Roman"/>
          <w:sz w:val="24"/>
          <w:szCs w:val="24"/>
        </w:rPr>
        <w:t>firmach wydawniczych</w:t>
      </w:r>
      <w:r>
        <w:rPr>
          <w:rFonts w:ascii="Times New Roman" w:hAnsi="Times New Roman" w:cs="Times New Roman"/>
          <w:sz w:val="24"/>
          <w:szCs w:val="24"/>
        </w:rPr>
        <w:t xml:space="preserve"> jest problem</w:t>
      </w:r>
      <w:r w:rsidR="00394E45">
        <w:rPr>
          <w:rFonts w:ascii="Times New Roman" w:hAnsi="Times New Roman" w:cs="Times New Roman"/>
          <w:sz w:val="24"/>
          <w:szCs w:val="24"/>
        </w:rPr>
        <w:t>.</w:t>
      </w:r>
      <w:r>
        <w:rPr>
          <w:rFonts w:ascii="Times New Roman" w:hAnsi="Times New Roman" w:cs="Times New Roman"/>
          <w:sz w:val="24"/>
          <w:szCs w:val="24"/>
        </w:rPr>
        <w:t xml:space="preserve"> GUS nie prowadzi oddzielnej statystyki dla wydawców</w:t>
      </w:r>
      <w:r w:rsidR="00E02F9A">
        <w:rPr>
          <w:rFonts w:ascii="Times New Roman" w:hAnsi="Times New Roman" w:cs="Times New Roman"/>
          <w:sz w:val="24"/>
          <w:szCs w:val="24"/>
        </w:rPr>
        <w:t xml:space="preserve">, wiele danych jest zagregowanych z poligrafią. </w:t>
      </w:r>
      <w:r w:rsidR="00481F4B">
        <w:rPr>
          <w:rFonts w:ascii="Times New Roman" w:hAnsi="Times New Roman" w:cs="Times New Roman"/>
          <w:sz w:val="24"/>
          <w:szCs w:val="24"/>
        </w:rPr>
        <w:t xml:space="preserve">Swoje banki </w:t>
      </w:r>
      <w:r w:rsidR="00481F4B" w:rsidRPr="002E30DE">
        <w:rPr>
          <w:rFonts w:ascii="Times New Roman" w:hAnsi="Times New Roman" w:cs="Times New Roman"/>
          <w:sz w:val="24"/>
          <w:szCs w:val="24"/>
        </w:rPr>
        <w:t xml:space="preserve">informacji prowadzą Biblioteka Narodowa oraz Biblioteka Analiz. </w:t>
      </w:r>
      <w:r w:rsidR="00E2455D" w:rsidRPr="002E30DE">
        <w:rPr>
          <w:rFonts w:ascii="Times New Roman" w:hAnsi="Times New Roman" w:cs="Times New Roman"/>
          <w:sz w:val="24"/>
          <w:szCs w:val="24"/>
        </w:rPr>
        <w:t xml:space="preserve">Stąd pomysł Polskiej </w:t>
      </w:r>
      <w:r w:rsidR="00A10C82" w:rsidRPr="002E30DE">
        <w:rPr>
          <w:rFonts w:ascii="Times New Roman" w:hAnsi="Times New Roman" w:cs="Times New Roman"/>
          <w:sz w:val="24"/>
          <w:szCs w:val="24"/>
        </w:rPr>
        <w:t xml:space="preserve">Izby </w:t>
      </w:r>
      <w:r w:rsidR="00E2455D" w:rsidRPr="002E30DE">
        <w:rPr>
          <w:rFonts w:ascii="Times New Roman" w:hAnsi="Times New Roman" w:cs="Times New Roman"/>
          <w:sz w:val="24"/>
          <w:szCs w:val="24"/>
        </w:rPr>
        <w:t xml:space="preserve">Książki, aby wydawcy sami zadbali o dostępność do podstawowych danych. </w:t>
      </w:r>
      <w:r w:rsidR="002E30DE" w:rsidRPr="002E30DE">
        <w:rPr>
          <w:rFonts w:ascii="Times New Roman" w:hAnsi="Times New Roman" w:cs="Times New Roman"/>
          <w:sz w:val="24"/>
          <w:szCs w:val="24"/>
        </w:rPr>
        <w:t>Badanie przeprowadzone zostało w formie ankiet, na ogólnopolskiej, reprezentatywnej grupie małych, średnich i dużych firm</w:t>
      </w:r>
      <w:r w:rsidR="00E26A10">
        <w:rPr>
          <w:rFonts w:ascii="Times New Roman" w:hAnsi="Times New Roman" w:cs="Times New Roman"/>
          <w:sz w:val="24"/>
          <w:szCs w:val="24"/>
        </w:rPr>
        <w:t xml:space="preserve"> wydawniczych</w:t>
      </w:r>
      <w:r w:rsidR="002E30DE" w:rsidRPr="002E30DE">
        <w:rPr>
          <w:rFonts w:ascii="Times New Roman" w:hAnsi="Times New Roman" w:cs="Times New Roman"/>
          <w:sz w:val="24"/>
          <w:szCs w:val="24"/>
        </w:rPr>
        <w:t xml:space="preserve">. </w:t>
      </w:r>
      <w:r w:rsidR="00E2455D" w:rsidRPr="002E30DE">
        <w:rPr>
          <w:rFonts w:ascii="Times New Roman" w:hAnsi="Times New Roman" w:cs="Times New Roman"/>
          <w:sz w:val="24"/>
          <w:szCs w:val="24"/>
        </w:rPr>
        <w:t>Z</w:t>
      </w:r>
      <w:r w:rsidR="004079D2" w:rsidRPr="002E30DE">
        <w:rPr>
          <w:rFonts w:ascii="Times New Roman" w:hAnsi="Times New Roman" w:cs="Times New Roman"/>
          <w:sz w:val="24"/>
          <w:szCs w:val="24"/>
        </w:rPr>
        <w:t>achowując pewną ostrożność</w:t>
      </w:r>
      <w:r w:rsidR="001C0187" w:rsidRPr="002E30DE">
        <w:rPr>
          <w:rFonts w:ascii="Times New Roman" w:hAnsi="Times New Roman" w:cs="Times New Roman"/>
          <w:sz w:val="24"/>
          <w:szCs w:val="24"/>
        </w:rPr>
        <w:t xml:space="preserve">, porównując </w:t>
      </w:r>
      <w:r w:rsidR="00E2455D" w:rsidRPr="002E30DE">
        <w:rPr>
          <w:rFonts w:ascii="Times New Roman" w:hAnsi="Times New Roman" w:cs="Times New Roman"/>
          <w:sz w:val="24"/>
          <w:szCs w:val="24"/>
        </w:rPr>
        <w:t xml:space="preserve">te dane </w:t>
      </w:r>
      <w:r w:rsidR="001C0187" w:rsidRPr="002E30DE">
        <w:rPr>
          <w:rFonts w:ascii="Times New Roman" w:hAnsi="Times New Roman" w:cs="Times New Roman"/>
          <w:sz w:val="24"/>
          <w:szCs w:val="24"/>
        </w:rPr>
        <w:t>z innymi źródłami</w:t>
      </w:r>
      <w:r w:rsidR="004079D2" w:rsidRPr="002E30DE">
        <w:rPr>
          <w:rFonts w:ascii="Times New Roman" w:hAnsi="Times New Roman" w:cs="Times New Roman"/>
          <w:sz w:val="24"/>
          <w:szCs w:val="24"/>
        </w:rPr>
        <w:t xml:space="preserve"> i czekając na ich potwierdzenie w przyszłych</w:t>
      </w:r>
      <w:r w:rsidR="004079D2">
        <w:rPr>
          <w:rFonts w:ascii="Times New Roman" w:hAnsi="Times New Roman" w:cs="Times New Roman"/>
          <w:sz w:val="24"/>
          <w:szCs w:val="24"/>
        </w:rPr>
        <w:t xml:space="preserve"> badaniach</w:t>
      </w:r>
      <w:r w:rsidR="00E2455D">
        <w:rPr>
          <w:rFonts w:ascii="Times New Roman" w:hAnsi="Times New Roman" w:cs="Times New Roman"/>
          <w:sz w:val="24"/>
          <w:szCs w:val="24"/>
        </w:rPr>
        <w:t>, jesteśmy w stanie sporządzić ten pierwszy raport – na dobry początek</w:t>
      </w:r>
      <w:r w:rsidR="004079D2">
        <w:rPr>
          <w:rFonts w:ascii="Times New Roman" w:hAnsi="Times New Roman" w:cs="Times New Roman"/>
          <w:sz w:val="24"/>
          <w:szCs w:val="24"/>
        </w:rPr>
        <w:t>.</w:t>
      </w:r>
      <w:r w:rsidR="00C24AD6">
        <w:rPr>
          <w:rFonts w:ascii="Times New Roman" w:hAnsi="Times New Roman" w:cs="Times New Roman"/>
          <w:sz w:val="24"/>
          <w:szCs w:val="24"/>
        </w:rPr>
        <w:t xml:space="preserve"> Wydawcy mają coraz większą świadomość</w:t>
      </w:r>
      <w:r w:rsidR="00A10C82">
        <w:rPr>
          <w:rFonts w:ascii="Times New Roman" w:hAnsi="Times New Roman" w:cs="Times New Roman"/>
          <w:sz w:val="24"/>
          <w:szCs w:val="24"/>
        </w:rPr>
        <w:t xml:space="preserve"> </w:t>
      </w:r>
      <w:r w:rsidR="00C24AD6">
        <w:rPr>
          <w:rFonts w:ascii="Times New Roman" w:hAnsi="Times New Roman" w:cs="Times New Roman"/>
          <w:sz w:val="24"/>
          <w:szCs w:val="24"/>
        </w:rPr>
        <w:t>znaczenia informacji o branży dla prawidłowego zarządzania swoim przedsiębiorstwem. Wgląd do tego raportu będzie motywował do intensywniejszego współdziałania w kolejnej edycji ankiet.</w:t>
      </w:r>
    </w:p>
    <w:p w:rsidR="004B4459" w:rsidRDefault="00191E3C" w:rsidP="00710B2C">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Na pewno pierwszy raport </w:t>
      </w:r>
      <w:r w:rsidR="00C24AD6">
        <w:rPr>
          <w:rFonts w:ascii="Times New Roman" w:hAnsi="Times New Roman" w:cs="Times New Roman"/>
          <w:sz w:val="24"/>
          <w:szCs w:val="24"/>
        </w:rPr>
        <w:t xml:space="preserve">ma </w:t>
      </w:r>
      <w:r>
        <w:rPr>
          <w:rFonts w:ascii="Times New Roman" w:hAnsi="Times New Roman" w:cs="Times New Roman"/>
          <w:sz w:val="24"/>
          <w:szCs w:val="24"/>
        </w:rPr>
        <w:t xml:space="preserve">mankamenty, które będą wymagały poprawek w kolejnych latach. </w:t>
      </w:r>
      <w:r w:rsidR="0006648F">
        <w:rPr>
          <w:rFonts w:ascii="Times New Roman" w:hAnsi="Times New Roman" w:cs="Times New Roman"/>
          <w:sz w:val="24"/>
          <w:szCs w:val="24"/>
        </w:rPr>
        <w:t>Dane historyczne, wyznaczanie trendów są często większą wartością niż precyzyjne dane z konkretnego roku.</w:t>
      </w:r>
    </w:p>
    <w:p w:rsidR="0006648F" w:rsidRDefault="001D335C" w:rsidP="00710B2C">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Obszar, w którym najmniej danych spłynęło od wydawców, to </w:t>
      </w:r>
      <w:r w:rsidR="0006648F">
        <w:rPr>
          <w:rFonts w:ascii="Times New Roman" w:hAnsi="Times New Roman" w:cs="Times New Roman"/>
          <w:sz w:val="24"/>
          <w:szCs w:val="24"/>
        </w:rPr>
        <w:t>dane o rentowności</w:t>
      </w:r>
      <w:r>
        <w:rPr>
          <w:rFonts w:ascii="Times New Roman" w:hAnsi="Times New Roman" w:cs="Times New Roman"/>
          <w:sz w:val="24"/>
          <w:szCs w:val="24"/>
        </w:rPr>
        <w:t>. Jeden z ważniejszych celów raportów –</w:t>
      </w:r>
      <w:r w:rsidR="004B4459">
        <w:rPr>
          <w:rFonts w:ascii="Times New Roman" w:hAnsi="Times New Roman" w:cs="Times New Roman"/>
          <w:sz w:val="24"/>
          <w:szCs w:val="24"/>
        </w:rPr>
        <w:t xml:space="preserve"> zdefiniowanie kondycji branży –</w:t>
      </w:r>
      <w:r>
        <w:rPr>
          <w:rFonts w:ascii="Times New Roman" w:hAnsi="Times New Roman" w:cs="Times New Roman"/>
          <w:sz w:val="24"/>
          <w:szCs w:val="24"/>
        </w:rPr>
        <w:t xml:space="preserve">  nie może być więc w tej edycji badań w pełni</w:t>
      </w:r>
      <w:r w:rsidR="003F61DD">
        <w:rPr>
          <w:rFonts w:ascii="Times New Roman" w:hAnsi="Times New Roman" w:cs="Times New Roman"/>
          <w:sz w:val="24"/>
          <w:szCs w:val="24"/>
        </w:rPr>
        <w:t xml:space="preserve"> </w:t>
      </w:r>
      <w:r>
        <w:rPr>
          <w:rFonts w:ascii="Times New Roman" w:hAnsi="Times New Roman" w:cs="Times New Roman"/>
          <w:sz w:val="24"/>
          <w:szCs w:val="24"/>
        </w:rPr>
        <w:t xml:space="preserve">zrealizowany. </w:t>
      </w:r>
      <w:r w:rsidR="00134B3E">
        <w:rPr>
          <w:rFonts w:ascii="Times New Roman" w:hAnsi="Times New Roman" w:cs="Times New Roman"/>
          <w:sz w:val="24"/>
          <w:szCs w:val="24"/>
        </w:rPr>
        <w:t>Padają informacje o 8-10 proc.</w:t>
      </w:r>
      <w:r w:rsidR="0006648F">
        <w:rPr>
          <w:rFonts w:ascii="Times New Roman" w:hAnsi="Times New Roman" w:cs="Times New Roman"/>
          <w:sz w:val="24"/>
          <w:szCs w:val="24"/>
        </w:rPr>
        <w:t xml:space="preserve"> rentowności działalności wydawniczej, są chętni do</w:t>
      </w:r>
      <w:r w:rsidR="00455332">
        <w:rPr>
          <w:rFonts w:ascii="Times New Roman" w:hAnsi="Times New Roman" w:cs="Times New Roman"/>
          <w:sz w:val="24"/>
          <w:szCs w:val="24"/>
        </w:rPr>
        <w:t xml:space="preserve"> rozpoczynania tej działalności, </w:t>
      </w:r>
      <w:r w:rsidR="0006648F">
        <w:rPr>
          <w:rFonts w:ascii="Times New Roman" w:hAnsi="Times New Roman" w:cs="Times New Roman"/>
          <w:sz w:val="24"/>
          <w:szCs w:val="24"/>
        </w:rPr>
        <w:t>tworzon</w:t>
      </w:r>
      <w:r w:rsidR="00455332">
        <w:rPr>
          <w:rFonts w:ascii="Times New Roman" w:hAnsi="Times New Roman" w:cs="Times New Roman"/>
          <w:sz w:val="24"/>
          <w:szCs w:val="24"/>
        </w:rPr>
        <w:t xml:space="preserve">e są nie tylko małe </w:t>
      </w:r>
      <w:r w:rsidR="00455332">
        <w:rPr>
          <w:rFonts w:ascii="Times New Roman" w:hAnsi="Times New Roman" w:cs="Times New Roman"/>
          <w:sz w:val="24"/>
          <w:szCs w:val="24"/>
        </w:rPr>
        <w:lastRenderedPageBreak/>
        <w:t>wydawnictwa, ale</w:t>
      </w:r>
      <w:r w:rsidR="0006648F">
        <w:rPr>
          <w:rFonts w:ascii="Times New Roman" w:hAnsi="Times New Roman" w:cs="Times New Roman"/>
          <w:sz w:val="24"/>
          <w:szCs w:val="24"/>
        </w:rPr>
        <w:t xml:space="preserve"> są </w:t>
      </w:r>
      <w:r w:rsidR="00455332">
        <w:rPr>
          <w:rFonts w:ascii="Times New Roman" w:hAnsi="Times New Roman" w:cs="Times New Roman"/>
          <w:sz w:val="24"/>
          <w:szCs w:val="24"/>
        </w:rPr>
        <w:t xml:space="preserve">też </w:t>
      </w:r>
      <w:r w:rsidR="0006648F">
        <w:rPr>
          <w:rFonts w:ascii="Times New Roman" w:hAnsi="Times New Roman" w:cs="Times New Roman"/>
          <w:sz w:val="24"/>
          <w:szCs w:val="24"/>
        </w:rPr>
        <w:t xml:space="preserve">chętni do budowy większych struktur wydawniczych. </w:t>
      </w:r>
      <w:r>
        <w:rPr>
          <w:rFonts w:ascii="Times New Roman" w:hAnsi="Times New Roman" w:cs="Times New Roman"/>
          <w:sz w:val="24"/>
          <w:szCs w:val="24"/>
        </w:rPr>
        <w:t>Symptomatyczne dla oceny wydawnictw są konsolidacje i przejęcia.</w:t>
      </w:r>
      <w:r w:rsidR="00455332">
        <w:rPr>
          <w:rFonts w:ascii="Times New Roman" w:hAnsi="Times New Roman" w:cs="Times New Roman"/>
          <w:sz w:val="24"/>
          <w:szCs w:val="24"/>
        </w:rPr>
        <w:t xml:space="preserve"> </w:t>
      </w:r>
      <w:r w:rsidR="0006648F">
        <w:rPr>
          <w:rFonts w:ascii="Times New Roman" w:hAnsi="Times New Roman" w:cs="Times New Roman"/>
          <w:sz w:val="24"/>
          <w:szCs w:val="24"/>
        </w:rPr>
        <w:t>To może rynek książki ma jeszcze przyszłość?</w:t>
      </w:r>
    </w:p>
    <w:p w:rsidR="00E22A9E" w:rsidRDefault="0006648F" w:rsidP="00710B2C">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W niniejszym opracowaniu brak spraw związanych z tworzącym się rynkiem e-booków i audiobooków. Wartość tej działalno</w:t>
      </w:r>
      <w:r w:rsidR="00134B3E">
        <w:rPr>
          <w:rFonts w:ascii="Times New Roman" w:hAnsi="Times New Roman" w:cs="Times New Roman"/>
          <w:sz w:val="24"/>
          <w:szCs w:val="24"/>
        </w:rPr>
        <w:t xml:space="preserve">ści w Polsce jest oceniana na </w:t>
      </w:r>
      <w:r w:rsidR="00455332">
        <w:rPr>
          <w:rFonts w:ascii="Times New Roman" w:hAnsi="Times New Roman" w:cs="Times New Roman"/>
          <w:sz w:val="24"/>
          <w:szCs w:val="24"/>
        </w:rPr>
        <w:t xml:space="preserve">ok. </w:t>
      </w:r>
      <w:r w:rsidR="00134B3E">
        <w:rPr>
          <w:rFonts w:ascii="Times New Roman" w:hAnsi="Times New Roman" w:cs="Times New Roman"/>
          <w:sz w:val="24"/>
          <w:szCs w:val="24"/>
        </w:rPr>
        <w:t>2 proc.</w:t>
      </w:r>
      <w:r>
        <w:rPr>
          <w:rFonts w:ascii="Times New Roman" w:hAnsi="Times New Roman" w:cs="Times New Roman"/>
          <w:sz w:val="24"/>
          <w:szCs w:val="24"/>
        </w:rPr>
        <w:t xml:space="preserve"> spr</w:t>
      </w:r>
      <w:r w:rsidR="00134B3E">
        <w:rPr>
          <w:rFonts w:ascii="Times New Roman" w:hAnsi="Times New Roman" w:cs="Times New Roman"/>
          <w:sz w:val="24"/>
          <w:szCs w:val="24"/>
        </w:rPr>
        <w:t>zedaży wydawnictw (w USA ok. 23 proc.</w:t>
      </w:r>
      <w:r>
        <w:rPr>
          <w:rFonts w:ascii="Times New Roman" w:hAnsi="Times New Roman" w:cs="Times New Roman"/>
          <w:sz w:val="24"/>
          <w:szCs w:val="24"/>
        </w:rPr>
        <w:t>), widać potencjał i na pewno w przyszł</w:t>
      </w:r>
      <w:r w:rsidR="001C0187">
        <w:rPr>
          <w:rFonts w:ascii="Times New Roman" w:hAnsi="Times New Roman" w:cs="Times New Roman"/>
          <w:sz w:val="24"/>
          <w:szCs w:val="24"/>
        </w:rPr>
        <w:t>ości należy też dokładnie go za</w:t>
      </w:r>
      <w:r>
        <w:rPr>
          <w:rFonts w:ascii="Times New Roman" w:hAnsi="Times New Roman" w:cs="Times New Roman"/>
          <w:sz w:val="24"/>
          <w:szCs w:val="24"/>
        </w:rPr>
        <w:t>nalizować</w:t>
      </w:r>
      <w:r w:rsidR="00E22A9E">
        <w:rPr>
          <w:rFonts w:ascii="Times New Roman" w:hAnsi="Times New Roman" w:cs="Times New Roman"/>
          <w:sz w:val="24"/>
          <w:szCs w:val="24"/>
        </w:rPr>
        <w:t>.</w:t>
      </w:r>
    </w:p>
    <w:p w:rsidR="0006648F" w:rsidRDefault="00E22A9E" w:rsidP="00710B2C">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Zapraszamy do wnikliwej lektury raportu. Jesteśmy otwarci na uwagi i komentarze, które pros</w:t>
      </w:r>
      <w:r w:rsidR="00455332">
        <w:rPr>
          <w:rFonts w:ascii="Times New Roman" w:hAnsi="Times New Roman" w:cs="Times New Roman"/>
          <w:sz w:val="24"/>
          <w:szCs w:val="24"/>
        </w:rPr>
        <w:t xml:space="preserve">imy kierować na adres mailowy: </w:t>
      </w:r>
      <w:r>
        <w:rPr>
          <w:rFonts w:ascii="Times New Roman" w:hAnsi="Times New Roman" w:cs="Times New Roman"/>
          <w:sz w:val="24"/>
          <w:szCs w:val="24"/>
        </w:rPr>
        <w:t>biuro@pik.org.pl.</w:t>
      </w:r>
    </w:p>
    <w:p w:rsidR="004079D2" w:rsidRPr="00F5141D" w:rsidRDefault="004079D2" w:rsidP="004079D2">
      <w:pPr>
        <w:pStyle w:val="Akapitzlist"/>
        <w:spacing w:line="360" w:lineRule="auto"/>
        <w:ind w:left="0" w:firstLine="360"/>
        <w:jc w:val="right"/>
        <w:rPr>
          <w:rFonts w:ascii="Times New Roman" w:hAnsi="Times New Roman" w:cs="Times New Roman"/>
          <w:sz w:val="24"/>
          <w:szCs w:val="24"/>
        </w:rPr>
      </w:pPr>
      <w:r>
        <w:rPr>
          <w:rFonts w:ascii="Times New Roman" w:hAnsi="Times New Roman" w:cs="Times New Roman"/>
          <w:sz w:val="24"/>
          <w:szCs w:val="24"/>
        </w:rPr>
        <w:t>Bernard Jóźwiak</w:t>
      </w:r>
    </w:p>
    <w:p w:rsidR="00E36B91" w:rsidRPr="004D7068" w:rsidRDefault="004D7068" w:rsidP="004D706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23A80" w:rsidRPr="00332277" w:rsidRDefault="001B4DB1" w:rsidP="00332277">
      <w:pPr>
        <w:pStyle w:val="Akapitzlist"/>
        <w:numPr>
          <w:ilvl w:val="0"/>
          <w:numId w:val="9"/>
        </w:numPr>
        <w:spacing w:line="360" w:lineRule="auto"/>
        <w:rPr>
          <w:rFonts w:ascii="Times New Roman" w:hAnsi="Times New Roman" w:cs="Times New Roman"/>
          <w:b/>
          <w:sz w:val="26"/>
          <w:szCs w:val="26"/>
        </w:rPr>
      </w:pPr>
      <w:r w:rsidRPr="00332277">
        <w:rPr>
          <w:rFonts w:ascii="Times New Roman" w:hAnsi="Times New Roman" w:cs="Times New Roman"/>
          <w:b/>
          <w:sz w:val="26"/>
          <w:szCs w:val="26"/>
        </w:rPr>
        <w:lastRenderedPageBreak/>
        <w:t>Polski rynek książki</w:t>
      </w:r>
    </w:p>
    <w:p w:rsidR="009B1DEF" w:rsidRPr="00134B3E" w:rsidRDefault="009B1DEF" w:rsidP="009B1DEF">
      <w:pPr>
        <w:pStyle w:val="Akapitzlist"/>
        <w:numPr>
          <w:ilvl w:val="0"/>
          <w:numId w:val="1"/>
        </w:numPr>
        <w:spacing w:line="360" w:lineRule="auto"/>
        <w:rPr>
          <w:rFonts w:ascii="Times New Roman" w:hAnsi="Times New Roman" w:cs="Times New Roman"/>
          <w:vanish/>
          <w:sz w:val="26"/>
          <w:szCs w:val="26"/>
        </w:rPr>
      </w:pPr>
    </w:p>
    <w:p w:rsidR="009B1DEF" w:rsidRPr="00134B3E" w:rsidRDefault="009B1DEF" w:rsidP="009B1DEF">
      <w:pPr>
        <w:pStyle w:val="Akapitzlist"/>
        <w:numPr>
          <w:ilvl w:val="0"/>
          <w:numId w:val="1"/>
        </w:numPr>
        <w:spacing w:line="360" w:lineRule="auto"/>
        <w:rPr>
          <w:rFonts w:ascii="Times New Roman" w:hAnsi="Times New Roman" w:cs="Times New Roman"/>
          <w:vanish/>
          <w:sz w:val="26"/>
          <w:szCs w:val="26"/>
        </w:rPr>
      </w:pPr>
    </w:p>
    <w:p w:rsidR="00DD4395" w:rsidRPr="00332277" w:rsidRDefault="001B4DB1" w:rsidP="003A3F63">
      <w:pPr>
        <w:pStyle w:val="Akapitzlist"/>
        <w:numPr>
          <w:ilvl w:val="1"/>
          <w:numId w:val="28"/>
        </w:numPr>
        <w:spacing w:line="360" w:lineRule="auto"/>
        <w:ind w:hanging="11"/>
        <w:rPr>
          <w:rFonts w:ascii="Times New Roman" w:hAnsi="Times New Roman" w:cs="Times New Roman"/>
          <w:b/>
          <w:sz w:val="26"/>
          <w:szCs w:val="26"/>
        </w:rPr>
      </w:pPr>
      <w:r w:rsidRPr="00332277">
        <w:rPr>
          <w:rFonts w:ascii="Times New Roman" w:hAnsi="Times New Roman" w:cs="Times New Roman"/>
          <w:b/>
          <w:sz w:val="26"/>
          <w:szCs w:val="26"/>
        </w:rPr>
        <w:t>Makrootoczenie</w:t>
      </w:r>
    </w:p>
    <w:p w:rsidR="00FB7D8E" w:rsidRPr="00F5141D" w:rsidRDefault="007F1054" w:rsidP="00710B2C">
      <w:pPr>
        <w:pStyle w:val="Akapitzlist"/>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W dobie globalizacji jest oczywistym, że </w:t>
      </w:r>
      <w:r w:rsidR="001B4DB1">
        <w:rPr>
          <w:rFonts w:ascii="Times New Roman" w:hAnsi="Times New Roman" w:cs="Times New Roman"/>
          <w:sz w:val="24"/>
          <w:szCs w:val="24"/>
        </w:rPr>
        <w:t>żaden</w:t>
      </w:r>
      <w:r>
        <w:rPr>
          <w:rFonts w:ascii="Times New Roman" w:hAnsi="Times New Roman" w:cs="Times New Roman"/>
          <w:sz w:val="24"/>
          <w:szCs w:val="24"/>
        </w:rPr>
        <w:t xml:space="preserve"> sektor </w:t>
      </w:r>
      <w:r w:rsidR="001B4DB1">
        <w:rPr>
          <w:rFonts w:ascii="Times New Roman" w:hAnsi="Times New Roman" w:cs="Times New Roman"/>
          <w:sz w:val="24"/>
          <w:szCs w:val="24"/>
        </w:rPr>
        <w:t>gospodarki</w:t>
      </w:r>
      <w:r>
        <w:rPr>
          <w:rFonts w:ascii="Times New Roman" w:hAnsi="Times New Roman" w:cs="Times New Roman"/>
          <w:sz w:val="24"/>
          <w:szCs w:val="24"/>
        </w:rPr>
        <w:t xml:space="preserve"> nie funkcjonuje w oderwaniu od otoczenia. </w:t>
      </w:r>
      <w:r w:rsidR="00835F88">
        <w:rPr>
          <w:rFonts w:ascii="Times New Roman" w:hAnsi="Times New Roman" w:cs="Times New Roman"/>
          <w:sz w:val="24"/>
          <w:szCs w:val="24"/>
        </w:rPr>
        <w:t xml:space="preserve">Raport na temat </w:t>
      </w:r>
      <w:r w:rsidR="001B4DB1">
        <w:rPr>
          <w:rFonts w:ascii="Times New Roman" w:hAnsi="Times New Roman" w:cs="Times New Roman"/>
          <w:sz w:val="24"/>
          <w:szCs w:val="24"/>
        </w:rPr>
        <w:t>rynku książki</w:t>
      </w:r>
      <w:r w:rsidR="00835F88">
        <w:rPr>
          <w:rFonts w:ascii="Times New Roman" w:hAnsi="Times New Roman" w:cs="Times New Roman"/>
          <w:sz w:val="24"/>
          <w:szCs w:val="24"/>
        </w:rPr>
        <w:t xml:space="preserve"> zawiera </w:t>
      </w:r>
      <w:r>
        <w:rPr>
          <w:rFonts w:ascii="Times New Roman" w:hAnsi="Times New Roman" w:cs="Times New Roman"/>
          <w:sz w:val="24"/>
          <w:szCs w:val="24"/>
        </w:rPr>
        <w:t>analizę</w:t>
      </w:r>
      <w:r w:rsidR="00835F88">
        <w:rPr>
          <w:rFonts w:ascii="Times New Roman" w:hAnsi="Times New Roman" w:cs="Times New Roman"/>
          <w:sz w:val="24"/>
          <w:szCs w:val="24"/>
        </w:rPr>
        <w:t xml:space="preserve"> nie tylko samych </w:t>
      </w:r>
      <w:r w:rsidR="001B4DB1">
        <w:rPr>
          <w:rFonts w:ascii="Times New Roman" w:hAnsi="Times New Roman" w:cs="Times New Roman"/>
          <w:sz w:val="24"/>
          <w:szCs w:val="24"/>
        </w:rPr>
        <w:t>wydawnictw</w:t>
      </w:r>
      <w:r w:rsidR="00835F88">
        <w:rPr>
          <w:rFonts w:ascii="Times New Roman" w:hAnsi="Times New Roman" w:cs="Times New Roman"/>
          <w:sz w:val="24"/>
          <w:szCs w:val="24"/>
        </w:rPr>
        <w:t xml:space="preserve">, ale również ich otoczenia </w:t>
      </w:r>
      <w:r>
        <w:rPr>
          <w:rFonts w:ascii="Times New Roman" w:hAnsi="Times New Roman" w:cs="Times New Roman"/>
          <w:sz w:val="24"/>
          <w:szCs w:val="24"/>
        </w:rPr>
        <w:t>dalszego – zwanego makrootoczeniem oraz otoczenia bliższego – zwanego otoczeniem konkurencyjnym.</w:t>
      </w:r>
    </w:p>
    <w:p w:rsidR="00DD4395" w:rsidRPr="00F5141D" w:rsidRDefault="00DD4395" w:rsidP="00332277">
      <w:pPr>
        <w:pStyle w:val="Akapitzlist"/>
        <w:numPr>
          <w:ilvl w:val="2"/>
          <w:numId w:val="28"/>
        </w:numPr>
        <w:tabs>
          <w:tab w:val="left" w:pos="1985"/>
        </w:tabs>
        <w:spacing w:line="360" w:lineRule="auto"/>
        <w:ind w:left="1985" w:hanging="851"/>
        <w:rPr>
          <w:rFonts w:ascii="Times New Roman" w:hAnsi="Times New Roman" w:cs="Times New Roman"/>
          <w:sz w:val="24"/>
          <w:szCs w:val="24"/>
        </w:rPr>
      </w:pPr>
      <w:r w:rsidRPr="00F5141D">
        <w:rPr>
          <w:rFonts w:ascii="Times New Roman" w:hAnsi="Times New Roman" w:cs="Times New Roman"/>
          <w:sz w:val="24"/>
          <w:szCs w:val="24"/>
        </w:rPr>
        <w:t>Analiza PEST</w:t>
      </w:r>
    </w:p>
    <w:p w:rsidR="00DD4395" w:rsidRPr="00F5141D" w:rsidRDefault="00DD4395" w:rsidP="00710B2C">
      <w:pPr>
        <w:pStyle w:val="Akapitzlist"/>
        <w:spacing w:line="360" w:lineRule="auto"/>
        <w:ind w:left="0" w:firstLine="708"/>
        <w:jc w:val="both"/>
        <w:rPr>
          <w:rFonts w:ascii="Times New Roman" w:hAnsi="Times New Roman" w:cs="Times New Roman"/>
          <w:sz w:val="24"/>
          <w:szCs w:val="24"/>
        </w:rPr>
      </w:pPr>
      <w:r w:rsidRPr="00F5141D">
        <w:rPr>
          <w:rFonts w:ascii="Times New Roman" w:hAnsi="Times New Roman" w:cs="Times New Roman"/>
          <w:sz w:val="24"/>
          <w:szCs w:val="24"/>
        </w:rPr>
        <w:t xml:space="preserve">Analiza PEST </w:t>
      </w:r>
      <w:r w:rsidR="008E7697">
        <w:rPr>
          <w:rFonts w:ascii="Times New Roman" w:hAnsi="Times New Roman" w:cs="Times New Roman"/>
          <w:sz w:val="24"/>
          <w:szCs w:val="24"/>
        </w:rPr>
        <w:t xml:space="preserve">jest jedną z metod analizy makrootoczenia, </w:t>
      </w:r>
      <w:r w:rsidRPr="00F5141D">
        <w:rPr>
          <w:rFonts w:ascii="Times New Roman" w:hAnsi="Times New Roman" w:cs="Times New Roman"/>
          <w:sz w:val="24"/>
          <w:szCs w:val="24"/>
        </w:rPr>
        <w:t>określa sfery</w:t>
      </w:r>
      <w:r w:rsidR="008E7697">
        <w:rPr>
          <w:rFonts w:ascii="Times New Roman" w:hAnsi="Times New Roman" w:cs="Times New Roman"/>
          <w:sz w:val="24"/>
          <w:szCs w:val="24"/>
        </w:rPr>
        <w:t>:</w:t>
      </w:r>
      <w:r w:rsidRPr="00F5141D">
        <w:rPr>
          <w:rFonts w:ascii="Times New Roman" w:hAnsi="Times New Roman" w:cs="Times New Roman"/>
          <w:sz w:val="24"/>
          <w:szCs w:val="24"/>
        </w:rPr>
        <w:t xml:space="preserve"> polityczną, ekonomiczną, społeczną i technologiczną. </w:t>
      </w:r>
      <w:r w:rsidR="00373757">
        <w:rPr>
          <w:rFonts w:ascii="Times New Roman" w:hAnsi="Times New Roman" w:cs="Times New Roman"/>
          <w:sz w:val="24"/>
          <w:szCs w:val="24"/>
        </w:rPr>
        <w:t>C</w:t>
      </w:r>
      <w:r w:rsidRPr="00F5141D">
        <w:rPr>
          <w:rFonts w:ascii="Times New Roman" w:hAnsi="Times New Roman" w:cs="Times New Roman"/>
          <w:sz w:val="24"/>
          <w:szCs w:val="24"/>
        </w:rPr>
        <w:t xml:space="preserve">zynniki </w:t>
      </w:r>
      <w:r w:rsidR="00962A0C" w:rsidRPr="00F5141D">
        <w:rPr>
          <w:rFonts w:ascii="Times New Roman" w:hAnsi="Times New Roman" w:cs="Times New Roman"/>
          <w:sz w:val="24"/>
          <w:szCs w:val="24"/>
        </w:rPr>
        <w:t xml:space="preserve">w danej sferze </w:t>
      </w:r>
      <w:r w:rsidRPr="00F5141D">
        <w:rPr>
          <w:rFonts w:ascii="Times New Roman" w:hAnsi="Times New Roman" w:cs="Times New Roman"/>
          <w:sz w:val="24"/>
          <w:szCs w:val="24"/>
        </w:rPr>
        <w:t xml:space="preserve">mające wpływ na </w:t>
      </w:r>
      <w:r w:rsidR="00962A0C" w:rsidRPr="00F5141D">
        <w:rPr>
          <w:rFonts w:ascii="Times New Roman" w:hAnsi="Times New Roman" w:cs="Times New Roman"/>
          <w:sz w:val="24"/>
          <w:szCs w:val="24"/>
        </w:rPr>
        <w:t>sektor obecnie i w przyszłości</w:t>
      </w:r>
      <w:r w:rsidR="00373757">
        <w:rPr>
          <w:rFonts w:ascii="Times New Roman" w:hAnsi="Times New Roman" w:cs="Times New Roman"/>
          <w:sz w:val="24"/>
          <w:szCs w:val="24"/>
        </w:rPr>
        <w:t>,</w:t>
      </w:r>
      <w:r w:rsidR="00962A0C" w:rsidRPr="00F5141D">
        <w:rPr>
          <w:rFonts w:ascii="Times New Roman" w:hAnsi="Times New Roman" w:cs="Times New Roman"/>
          <w:sz w:val="24"/>
          <w:szCs w:val="24"/>
        </w:rPr>
        <w:t xml:space="preserve"> są </w:t>
      </w:r>
      <w:r w:rsidR="00373757">
        <w:rPr>
          <w:rFonts w:ascii="Times New Roman" w:hAnsi="Times New Roman" w:cs="Times New Roman"/>
          <w:sz w:val="24"/>
          <w:szCs w:val="24"/>
        </w:rPr>
        <w:t xml:space="preserve">one ustawione </w:t>
      </w:r>
      <w:r w:rsidR="00962A0C" w:rsidRPr="00F5141D">
        <w:rPr>
          <w:rFonts w:ascii="Times New Roman" w:hAnsi="Times New Roman" w:cs="Times New Roman"/>
          <w:sz w:val="24"/>
          <w:szCs w:val="24"/>
        </w:rPr>
        <w:t>w kolejności</w:t>
      </w:r>
      <w:r w:rsidRPr="00F5141D">
        <w:rPr>
          <w:rFonts w:ascii="Times New Roman" w:hAnsi="Times New Roman" w:cs="Times New Roman"/>
          <w:sz w:val="24"/>
          <w:szCs w:val="24"/>
        </w:rPr>
        <w:t xml:space="preserve"> od najsilniejszego do najsłabszego</w:t>
      </w:r>
      <w:r w:rsidR="00962A0C" w:rsidRPr="00F5141D">
        <w:rPr>
          <w:rFonts w:ascii="Times New Roman" w:hAnsi="Times New Roman" w:cs="Times New Roman"/>
          <w:sz w:val="24"/>
          <w:szCs w:val="24"/>
        </w:rPr>
        <w:t xml:space="preserve"> wpływu</w:t>
      </w:r>
      <w:r w:rsidRPr="00F5141D">
        <w:rPr>
          <w:rFonts w:ascii="Times New Roman" w:hAnsi="Times New Roman" w:cs="Times New Roman"/>
          <w:sz w:val="24"/>
          <w:szCs w:val="24"/>
        </w:rPr>
        <w:t>.</w:t>
      </w:r>
    </w:p>
    <w:p w:rsidR="00DD4395" w:rsidRPr="00913E44" w:rsidRDefault="00DD4395" w:rsidP="00515262">
      <w:pPr>
        <w:rPr>
          <w:rFonts w:ascii="Times New Roman" w:hAnsi="Times New Roman" w:cs="Times New Roman"/>
          <w:b/>
          <w:sz w:val="24"/>
          <w:szCs w:val="24"/>
        </w:rPr>
      </w:pPr>
      <w:r w:rsidRPr="00913E44">
        <w:rPr>
          <w:rFonts w:ascii="Times New Roman" w:hAnsi="Times New Roman" w:cs="Times New Roman"/>
          <w:b/>
          <w:sz w:val="24"/>
          <w:szCs w:val="24"/>
        </w:rPr>
        <w:t>Analiza PEST</w:t>
      </w:r>
    </w:p>
    <w:p w:rsidR="008E7697" w:rsidRDefault="008E7697" w:rsidP="008E7697">
      <w:pPr>
        <w:spacing w:after="0" w:line="240" w:lineRule="auto"/>
        <w:rPr>
          <w:rFonts w:ascii="Times New Roman" w:hAnsi="Times New Roman" w:cs="Times New Roman"/>
          <w:b/>
          <w:sz w:val="24"/>
          <w:szCs w:val="24"/>
        </w:rPr>
      </w:pPr>
      <w:r>
        <w:rPr>
          <w:rFonts w:ascii="Times New Roman" w:hAnsi="Times New Roman" w:cs="Times New Roman"/>
          <w:b/>
          <w:sz w:val="24"/>
          <w:szCs w:val="24"/>
        </w:rPr>
        <w:t>Sfera Polityczna</w:t>
      </w:r>
    </w:p>
    <w:p w:rsidR="00134B3E" w:rsidRDefault="00134B3E" w:rsidP="008E7697">
      <w:pPr>
        <w:spacing w:after="0" w:line="240" w:lineRule="auto"/>
        <w:rPr>
          <w:rFonts w:ascii="Times New Roman" w:hAnsi="Times New Roman" w:cs="Times New Roman"/>
          <w:b/>
          <w:sz w:val="24"/>
          <w:szCs w:val="24"/>
        </w:rPr>
      </w:pPr>
    </w:p>
    <w:tbl>
      <w:tblPr>
        <w:tblStyle w:val="Tabela-Siatka"/>
        <w:tblW w:w="9781" w:type="dxa"/>
        <w:tblInd w:w="-34" w:type="dxa"/>
        <w:tblLayout w:type="fixed"/>
        <w:tblLook w:val="04A0" w:firstRow="1" w:lastRow="0" w:firstColumn="1" w:lastColumn="0" w:noHBand="0" w:noVBand="1"/>
      </w:tblPr>
      <w:tblGrid>
        <w:gridCol w:w="2269"/>
        <w:gridCol w:w="5244"/>
        <w:gridCol w:w="1134"/>
        <w:gridCol w:w="1134"/>
      </w:tblGrid>
      <w:tr w:rsidR="00651111" w:rsidTr="006D4BAF">
        <w:trPr>
          <w:trHeight w:val="278"/>
        </w:trPr>
        <w:tc>
          <w:tcPr>
            <w:tcW w:w="2269" w:type="dxa"/>
            <w:vMerge w:val="restart"/>
          </w:tcPr>
          <w:p w:rsidR="00651111" w:rsidRPr="00301F24" w:rsidRDefault="00651111" w:rsidP="00134B3E">
            <w:pPr>
              <w:ind w:right="302"/>
              <w:rPr>
                <w:rFonts w:ascii="Times New Roman" w:hAnsi="Times New Roman" w:cs="Times New Roman"/>
                <w:b/>
                <w:sz w:val="24"/>
                <w:szCs w:val="24"/>
              </w:rPr>
            </w:pPr>
            <w:r w:rsidRPr="00301F24">
              <w:rPr>
                <w:rFonts w:ascii="Times New Roman" w:hAnsi="Times New Roman" w:cs="Times New Roman"/>
                <w:b/>
                <w:sz w:val="24"/>
                <w:szCs w:val="24"/>
              </w:rPr>
              <w:t>Czynniki makrootoczenia</w:t>
            </w:r>
          </w:p>
        </w:tc>
        <w:tc>
          <w:tcPr>
            <w:tcW w:w="5244" w:type="dxa"/>
            <w:vMerge w:val="restart"/>
            <w:vAlign w:val="center"/>
          </w:tcPr>
          <w:p w:rsidR="00651111" w:rsidRPr="00301F24" w:rsidRDefault="00651111" w:rsidP="00E348C3">
            <w:pPr>
              <w:jc w:val="center"/>
              <w:rPr>
                <w:rFonts w:ascii="Times New Roman" w:hAnsi="Times New Roman" w:cs="Times New Roman"/>
                <w:b/>
                <w:sz w:val="24"/>
                <w:szCs w:val="24"/>
              </w:rPr>
            </w:pPr>
            <w:r w:rsidRPr="00301F24">
              <w:rPr>
                <w:rFonts w:ascii="Times New Roman" w:hAnsi="Times New Roman" w:cs="Times New Roman"/>
                <w:b/>
                <w:sz w:val="24"/>
                <w:szCs w:val="24"/>
              </w:rPr>
              <w:t>Komentarz</w:t>
            </w:r>
          </w:p>
        </w:tc>
        <w:tc>
          <w:tcPr>
            <w:tcW w:w="2268" w:type="dxa"/>
            <w:gridSpan w:val="2"/>
          </w:tcPr>
          <w:p w:rsidR="00651111" w:rsidRPr="00301F24" w:rsidRDefault="00651111" w:rsidP="00E348C3">
            <w:pPr>
              <w:ind w:left="-108"/>
              <w:jc w:val="center"/>
              <w:rPr>
                <w:rFonts w:ascii="Times New Roman" w:hAnsi="Times New Roman" w:cs="Times New Roman"/>
                <w:b/>
                <w:sz w:val="24"/>
                <w:szCs w:val="24"/>
              </w:rPr>
            </w:pPr>
            <w:r w:rsidRPr="00301F24">
              <w:rPr>
                <w:rFonts w:ascii="Times New Roman" w:hAnsi="Times New Roman" w:cs="Times New Roman"/>
                <w:b/>
                <w:sz w:val="24"/>
                <w:szCs w:val="24"/>
              </w:rPr>
              <w:t>Kierunek siły wpływu</w:t>
            </w:r>
          </w:p>
        </w:tc>
      </w:tr>
      <w:tr w:rsidR="00651111" w:rsidTr="006D4BAF">
        <w:trPr>
          <w:trHeight w:val="416"/>
        </w:trPr>
        <w:tc>
          <w:tcPr>
            <w:tcW w:w="2269" w:type="dxa"/>
            <w:vMerge/>
          </w:tcPr>
          <w:p w:rsidR="00651111" w:rsidRPr="00301F24" w:rsidRDefault="00651111" w:rsidP="00E348C3">
            <w:pPr>
              <w:ind w:right="302"/>
              <w:jc w:val="center"/>
              <w:rPr>
                <w:rFonts w:ascii="Times New Roman" w:hAnsi="Times New Roman" w:cs="Times New Roman"/>
                <w:b/>
                <w:sz w:val="24"/>
                <w:szCs w:val="24"/>
              </w:rPr>
            </w:pPr>
          </w:p>
        </w:tc>
        <w:tc>
          <w:tcPr>
            <w:tcW w:w="5244" w:type="dxa"/>
            <w:vMerge/>
            <w:vAlign w:val="center"/>
          </w:tcPr>
          <w:p w:rsidR="00651111" w:rsidRPr="00301F24" w:rsidRDefault="00651111" w:rsidP="00E348C3">
            <w:pPr>
              <w:jc w:val="center"/>
              <w:rPr>
                <w:rFonts w:ascii="Times New Roman" w:hAnsi="Times New Roman" w:cs="Times New Roman"/>
                <w:b/>
                <w:sz w:val="24"/>
                <w:szCs w:val="24"/>
              </w:rPr>
            </w:pPr>
          </w:p>
        </w:tc>
        <w:tc>
          <w:tcPr>
            <w:tcW w:w="1134" w:type="dxa"/>
          </w:tcPr>
          <w:p w:rsidR="00651111" w:rsidRPr="00301F24" w:rsidRDefault="00651111" w:rsidP="00E348C3">
            <w:pPr>
              <w:ind w:left="-108"/>
              <w:jc w:val="center"/>
              <w:rPr>
                <w:rFonts w:ascii="Times New Roman" w:hAnsi="Times New Roman" w:cs="Times New Roman"/>
                <w:sz w:val="24"/>
                <w:szCs w:val="24"/>
              </w:rPr>
            </w:pPr>
            <w:r w:rsidRPr="00301F24">
              <w:rPr>
                <w:rFonts w:ascii="Times New Roman" w:hAnsi="Times New Roman" w:cs="Times New Roman"/>
                <w:sz w:val="24"/>
                <w:szCs w:val="24"/>
              </w:rPr>
              <w:t>obecnie</w:t>
            </w:r>
          </w:p>
        </w:tc>
        <w:tc>
          <w:tcPr>
            <w:tcW w:w="1134" w:type="dxa"/>
          </w:tcPr>
          <w:p w:rsidR="00651111" w:rsidRPr="00301F24" w:rsidRDefault="00651111" w:rsidP="000A203E">
            <w:pPr>
              <w:ind w:left="-108"/>
              <w:rPr>
                <w:rFonts w:ascii="Times New Roman" w:hAnsi="Times New Roman" w:cs="Times New Roman"/>
                <w:sz w:val="24"/>
                <w:szCs w:val="24"/>
              </w:rPr>
            </w:pPr>
            <w:r w:rsidRPr="00301F24">
              <w:rPr>
                <w:rFonts w:ascii="Times New Roman" w:hAnsi="Times New Roman" w:cs="Times New Roman"/>
                <w:sz w:val="24"/>
                <w:szCs w:val="24"/>
              </w:rPr>
              <w:t>przyszłość</w:t>
            </w:r>
          </w:p>
        </w:tc>
      </w:tr>
      <w:tr w:rsidR="00651111" w:rsidTr="006D4BAF">
        <w:trPr>
          <w:trHeight w:val="277"/>
        </w:trPr>
        <w:tc>
          <w:tcPr>
            <w:tcW w:w="2269" w:type="dxa"/>
          </w:tcPr>
          <w:p w:rsidR="00651111" w:rsidRPr="00301F24" w:rsidRDefault="00651111" w:rsidP="00E348C3">
            <w:pPr>
              <w:rPr>
                <w:rFonts w:ascii="Times New Roman" w:hAnsi="Times New Roman" w:cs="Times New Roman"/>
                <w:sz w:val="20"/>
                <w:szCs w:val="20"/>
              </w:rPr>
            </w:pPr>
            <w:r w:rsidRPr="00301F24">
              <w:rPr>
                <w:rFonts w:ascii="Times New Roman" w:hAnsi="Times New Roman" w:cs="Times New Roman"/>
                <w:sz w:val="20"/>
                <w:szCs w:val="20"/>
              </w:rPr>
              <w:t>Integracja UE</w:t>
            </w:r>
          </w:p>
          <w:p w:rsidR="00651111" w:rsidRPr="00301F24" w:rsidRDefault="00651111" w:rsidP="00E348C3">
            <w:pPr>
              <w:rPr>
                <w:rFonts w:ascii="Times New Roman" w:hAnsi="Times New Roman" w:cs="Times New Roman"/>
                <w:sz w:val="20"/>
                <w:szCs w:val="20"/>
              </w:rPr>
            </w:pPr>
          </w:p>
        </w:tc>
        <w:tc>
          <w:tcPr>
            <w:tcW w:w="5244" w:type="dxa"/>
          </w:tcPr>
          <w:p w:rsidR="00651111" w:rsidRPr="00301F24" w:rsidRDefault="00651111" w:rsidP="00134B3E">
            <w:pPr>
              <w:jc w:val="both"/>
              <w:rPr>
                <w:rFonts w:ascii="Times New Roman" w:hAnsi="Times New Roman" w:cs="Times New Roman"/>
                <w:sz w:val="20"/>
                <w:szCs w:val="20"/>
              </w:rPr>
            </w:pPr>
            <w:r w:rsidRPr="00D123AA">
              <w:rPr>
                <w:rFonts w:ascii="Times New Roman" w:hAnsi="Times New Roman" w:cs="Times New Roman"/>
                <w:sz w:val="20"/>
                <w:szCs w:val="20"/>
              </w:rPr>
              <w:t xml:space="preserve">Integracja w ramach UE jest </w:t>
            </w:r>
            <w:r>
              <w:rPr>
                <w:rFonts w:ascii="Times New Roman" w:hAnsi="Times New Roman" w:cs="Times New Roman"/>
                <w:sz w:val="20"/>
                <w:szCs w:val="20"/>
              </w:rPr>
              <w:t xml:space="preserve">dalej </w:t>
            </w:r>
            <w:r w:rsidRPr="00D123AA">
              <w:rPr>
                <w:rFonts w:ascii="Times New Roman" w:hAnsi="Times New Roman" w:cs="Times New Roman"/>
                <w:sz w:val="20"/>
                <w:szCs w:val="20"/>
              </w:rPr>
              <w:t xml:space="preserve">szansą dla </w:t>
            </w:r>
            <w:r>
              <w:rPr>
                <w:rFonts w:ascii="Times New Roman" w:hAnsi="Times New Roman" w:cs="Times New Roman"/>
                <w:sz w:val="20"/>
                <w:szCs w:val="20"/>
              </w:rPr>
              <w:t>polskiej kultury zarówno w jedną stronę (przekłady na polski) jak i w drugą stronę (sprzedaż praw polskich autorów)</w:t>
            </w:r>
          </w:p>
        </w:tc>
        <w:tc>
          <w:tcPr>
            <w:tcW w:w="1134" w:type="dxa"/>
            <w:vAlign w:val="center"/>
          </w:tcPr>
          <w:p w:rsidR="00651111" w:rsidRPr="00301F24" w:rsidRDefault="00651111" w:rsidP="00E348C3">
            <w:pPr>
              <w:jc w:val="center"/>
              <w:rPr>
                <w:rFonts w:ascii="Times New Roman" w:hAnsi="Times New Roman" w:cs="Times New Roman"/>
                <w:sz w:val="20"/>
                <w:szCs w:val="20"/>
              </w:rPr>
            </w:pPr>
            <w:r w:rsidRPr="00301F24">
              <w:rPr>
                <w:rFonts w:ascii="Times New Roman" w:hAnsi="Times New Roman" w:cs="Times New Roman"/>
                <w:sz w:val="20"/>
                <w:szCs w:val="20"/>
              </w:rPr>
              <w:t>wzrost</w:t>
            </w:r>
          </w:p>
        </w:tc>
        <w:tc>
          <w:tcPr>
            <w:tcW w:w="1134" w:type="dxa"/>
            <w:vAlign w:val="center"/>
          </w:tcPr>
          <w:p w:rsidR="00651111" w:rsidRPr="00301F24" w:rsidRDefault="00651111" w:rsidP="00E348C3">
            <w:pPr>
              <w:jc w:val="center"/>
              <w:rPr>
                <w:rFonts w:ascii="Times New Roman" w:hAnsi="Times New Roman" w:cs="Times New Roman"/>
                <w:sz w:val="20"/>
                <w:szCs w:val="20"/>
              </w:rPr>
            </w:pPr>
            <w:r w:rsidRPr="00301F24">
              <w:rPr>
                <w:rFonts w:ascii="Times New Roman" w:hAnsi="Times New Roman" w:cs="Times New Roman"/>
                <w:sz w:val="20"/>
                <w:szCs w:val="20"/>
              </w:rPr>
              <w:t>wzrost</w:t>
            </w:r>
          </w:p>
        </w:tc>
      </w:tr>
      <w:tr w:rsidR="00651111" w:rsidTr="006D4BAF">
        <w:trPr>
          <w:trHeight w:val="277"/>
        </w:trPr>
        <w:tc>
          <w:tcPr>
            <w:tcW w:w="2269" w:type="dxa"/>
          </w:tcPr>
          <w:p w:rsidR="00651111" w:rsidRPr="00301F24" w:rsidRDefault="00651111" w:rsidP="00E348C3">
            <w:pPr>
              <w:rPr>
                <w:rFonts w:ascii="Times New Roman" w:hAnsi="Times New Roman" w:cs="Times New Roman"/>
                <w:sz w:val="24"/>
                <w:szCs w:val="24"/>
              </w:rPr>
            </w:pPr>
            <w:r w:rsidRPr="00301F24">
              <w:rPr>
                <w:rFonts w:ascii="Times New Roman" w:hAnsi="Times New Roman" w:cs="Times New Roman"/>
                <w:sz w:val="20"/>
                <w:szCs w:val="20"/>
              </w:rPr>
              <w:t>Prawo pracy</w:t>
            </w:r>
          </w:p>
        </w:tc>
        <w:tc>
          <w:tcPr>
            <w:tcW w:w="5244" w:type="dxa"/>
          </w:tcPr>
          <w:p w:rsidR="00651111" w:rsidRPr="00D123AA" w:rsidRDefault="00651111" w:rsidP="00134B3E">
            <w:pPr>
              <w:jc w:val="both"/>
              <w:rPr>
                <w:rFonts w:ascii="Times New Roman" w:hAnsi="Times New Roman" w:cs="Times New Roman"/>
                <w:sz w:val="20"/>
                <w:szCs w:val="20"/>
              </w:rPr>
            </w:pPr>
            <w:r w:rsidRPr="00D123AA">
              <w:rPr>
                <w:rFonts w:ascii="Times New Roman" w:hAnsi="Times New Roman" w:cs="Times New Roman"/>
                <w:sz w:val="20"/>
                <w:szCs w:val="20"/>
              </w:rPr>
              <w:t xml:space="preserve">Proponowane </w:t>
            </w:r>
            <w:r>
              <w:rPr>
                <w:rFonts w:ascii="Times New Roman" w:hAnsi="Times New Roman" w:cs="Times New Roman"/>
                <w:sz w:val="20"/>
                <w:szCs w:val="20"/>
              </w:rPr>
              <w:t xml:space="preserve">i wprowadzone już </w:t>
            </w:r>
            <w:r w:rsidRPr="00D123AA">
              <w:rPr>
                <w:rFonts w:ascii="Times New Roman" w:hAnsi="Times New Roman" w:cs="Times New Roman"/>
                <w:sz w:val="20"/>
                <w:szCs w:val="20"/>
              </w:rPr>
              <w:t xml:space="preserve">zmiany w Kodeksie Pracy mają zwiększyć konkurencyjność polskich firm, </w:t>
            </w:r>
            <w:r>
              <w:rPr>
                <w:rFonts w:ascii="Times New Roman" w:hAnsi="Times New Roman" w:cs="Times New Roman"/>
                <w:sz w:val="20"/>
                <w:szCs w:val="20"/>
              </w:rPr>
              <w:t>ale powodują również negatywną reakcją związków zawodowych.</w:t>
            </w:r>
          </w:p>
        </w:tc>
        <w:tc>
          <w:tcPr>
            <w:tcW w:w="1134" w:type="dxa"/>
            <w:vAlign w:val="center"/>
          </w:tcPr>
          <w:p w:rsidR="00651111" w:rsidRPr="00D123AA" w:rsidRDefault="00651111" w:rsidP="00E348C3">
            <w:pPr>
              <w:jc w:val="center"/>
              <w:rPr>
                <w:rFonts w:ascii="Times New Roman" w:hAnsi="Times New Roman" w:cs="Times New Roman"/>
                <w:sz w:val="20"/>
                <w:szCs w:val="20"/>
              </w:rPr>
            </w:pPr>
            <w:r>
              <w:rPr>
                <w:rFonts w:ascii="Times New Roman" w:hAnsi="Times New Roman" w:cs="Times New Roman"/>
                <w:sz w:val="20"/>
                <w:szCs w:val="20"/>
              </w:rPr>
              <w:t>wzrost</w:t>
            </w:r>
          </w:p>
        </w:tc>
        <w:tc>
          <w:tcPr>
            <w:tcW w:w="1134" w:type="dxa"/>
            <w:vAlign w:val="center"/>
          </w:tcPr>
          <w:p w:rsidR="00651111" w:rsidRPr="00D123AA" w:rsidRDefault="00651111" w:rsidP="00E348C3">
            <w:pPr>
              <w:jc w:val="center"/>
              <w:rPr>
                <w:rFonts w:ascii="Times New Roman" w:hAnsi="Times New Roman" w:cs="Times New Roman"/>
                <w:sz w:val="20"/>
                <w:szCs w:val="20"/>
              </w:rPr>
            </w:pPr>
            <w:r w:rsidRPr="00D123AA">
              <w:rPr>
                <w:rFonts w:ascii="Times New Roman" w:hAnsi="Times New Roman" w:cs="Times New Roman"/>
                <w:sz w:val="20"/>
                <w:szCs w:val="20"/>
              </w:rPr>
              <w:t>wzrost</w:t>
            </w:r>
          </w:p>
        </w:tc>
      </w:tr>
      <w:tr w:rsidR="00651111" w:rsidTr="006D4BAF">
        <w:trPr>
          <w:trHeight w:val="620"/>
        </w:trPr>
        <w:tc>
          <w:tcPr>
            <w:tcW w:w="2269" w:type="dxa"/>
          </w:tcPr>
          <w:p w:rsidR="00651111" w:rsidRPr="00301F24" w:rsidRDefault="00651111" w:rsidP="00E348C3">
            <w:pPr>
              <w:rPr>
                <w:rFonts w:ascii="Times New Roman" w:hAnsi="Times New Roman" w:cs="Times New Roman"/>
                <w:sz w:val="20"/>
                <w:szCs w:val="20"/>
              </w:rPr>
            </w:pPr>
            <w:r w:rsidRPr="00301F24">
              <w:rPr>
                <w:rFonts w:ascii="Times New Roman" w:hAnsi="Times New Roman" w:cs="Times New Roman"/>
                <w:sz w:val="20"/>
                <w:szCs w:val="20"/>
              </w:rPr>
              <w:t>Globalizacja i konkurencja międzynarodowa</w:t>
            </w:r>
          </w:p>
        </w:tc>
        <w:tc>
          <w:tcPr>
            <w:tcW w:w="5244" w:type="dxa"/>
          </w:tcPr>
          <w:p w:rsidR="00651111" w:rsidRPr="00301F24" w:rsidRDefault="00651111" w:rsidP="00134B3E">
            <w:pPr>
              <w:jc w:val="both"/>
              <w:rPr>
                <w:rFonts w:ascii="Times New Roman" w:hAnsi="Times New Roman" w:cs="Times New Roman"/>
                <w:sz w:val="20"/>
                <w:szCs w:val="20"/>
              </w:rPr>
            </w:pPr>
            <w:r w:rsidRPr="00301F24">
              <w:rPr>
                <w:rFonts w:ascii="Times New Roman" w:hAnsi="Times New Roman" w:cs="Times New Roman"/>
                <w:sz w:val="20"/>
                <w:szCs w:val="20"/>
              </w:rPr>
              <w:t xml:space="preserve">Proces globalizacji stwarza dodatkową konkurencję na rynku wewnętrznym oraz rynkach zagranicznych, ale daje również szansę </w:t>
            </w:r>
            <w:r>
              <w:rPr>
                <w:rFonts w:ascii="Times New Roman" w:hAnsi="Times New Roman" w:cs="Times New Roman"/>
                <w:sz w:val="20"/>
                <w:szCs w:val="20"/>
              </w:rPr>
              <w:t xml:space="preserve">na </w:t>
            </w:r>
            <w:r w:rsidRPr="00301F24">
              <w:rPr>
                <w:rFonts w:ascii="Times New Roman" w:hAnsi="Times New Roman" w:cs="Times New Roman"/>
                <w:sz w:val="20"/>
                <w:szCs w:val="20"/>
              </w:rPr>
              <w:t>eksport.</w:t>
            </w:r>
          </w:p>
        </w:tc>
        <w:tc>
          <w:tcPr>
            <w:tcW w:w="1134" w:type="dxa"/>
            <w:vAlign w:val="center"/>
          </w:tcPr>
          <w:p w:rsidR="00651111" w:rsidRPr="00301F24" w:rsidRDefault="00651111" w:rsidP="00E348C3">
            <w:pPr>
              <w:jc w:val="center"/>
              <w:rPr>
                <w:rFonts w:ascii="Times New Roman" w:hAnsi="Times New Roman" w:cs="Times New Roman"/>
                <w:sz w:val="20"/>
                <w:szCs w:val="20"/>
              </w:rPr>
            </w:pPr>
            <w:r w:rsidRPr="00301F24">
              <w:rPr>
                <w:rFonts w:ascii="Times New Roman" w:hAnsi="Times New Roman" w:cs="Times New Roman"/>
                <w:sz w:val="20"/>
                <w:szCs w:val="20"/>
              </w:rPr>
              <w:t>wzrost</w:t>
            </w:r>
          </w:p>
        </w:tc>
        <w:tc>
          <w:tcPr>
            <w:tcW w:w="1134" w:type="dxa"/>
            <w:vAlign w:val="center"/>
          </w:tcPr>
          <w:p w:rsidR="00651111" w:rsidRPr="00301F24" w:rsidRDefault="00651111" w:rsidP="00E348C3">
            <w:pPr>
              <w:jc w:val="center"/>
              <w:rPr>
                <w:rFonts w:ascii="Times New Roman" w:hAnsi="Times New Roman" w:cs="Times New Roman"/>
                <w:sz w:val="20"/>
                <w:szCs w:val="20"/>
              </w:rPr>
            </w:pPr>
            <w:r w:rsidRPr="00301F24">
              <w:rPr>
                <w:rFonts w:ascii="Times New Roman" w:hAnsi="Times New Roman" w:cs="Times New Roman"/>
                <w:sz w:val="20"/>
                <w:szCs w:val="20"/>
              </w:rPr>
              <w:t>wzrost</w:t>
            </w:r>
          </w:p>
        </w:tc>
      </w:tr>
      <w:tr w:rsidR="00651111" w:rsidTr="006D4BAF">
        <w:trPr>
          <w:trHeight w:val="620"/>
        </w:trPr>
        <w:tc>
          <w:tcPr>
            <w:tcW w:w="2269" w:type="dxa"/>
          </w:tcPr>
          <w:p w:rsidR="00651111" w:rsidRPr="00301F24" w:rsidRDefault="00651111" w:rsidP="00E348C3">
            <w:pPr>
              <w:rPr>
                <w:rFonts w:ascii="Times New Roman" w:hAnsi="Times New Roman" w:cs="Times New Roman"/>
                <w:sz w:val="20"/>
                <w:szCs w:val="20"/>
              </w:rPr>
            </w:pPr>
            <w:r w:rsidRPr="00301F24">
              <w:rPr>
                <w:rFonts w:ascii="Times New Roman" w:hAnsi="Times New Roman" w:cs="Times New Roman"/>
                <w:sz w:val="20"/>
                <w:szCs w:val="20"/>
              </w:rPr>
              <w:t>Ustawy o działalności gospodarczej</w:t>
            </w:r>
          </w:p>
        </w:tc>
        <w:tc>
          <w:tcPr>
            <w:tcW w:w="5244" w:type="dxa"/>
          </w:tcPr>
          <w:p w:rsidR="00651111" w:rsidRPr="00301F24" w:rsidRDefault="00651111" w:rsidP="00134B3E">
            <w:pPr>
              <w:jc w:val="both"/>
              <w:rPr>
                <w:rFonts w:ascii="Times New Roman" w:hAnsi="Times New Roman" w:cs="Times New Roman"/>
                <w:sz w:val="20"/>
                <w:szCs w:val="20"/>
              </w:rPr>
            </w:pPr>
            <w:r>
              <w:rPr>
                <w:rFonts w:ascii="Times New Roman" w:hAnsi="Times New Roman" w:cs="Times New Roman"/>
                <w:sz w:val="20"/>
                <w:szCs w:val="20"/>
              </w:rPr>
              <w:t>Z</w:t>
            </w:r>
            <w:r w:rsidRPr="00301F24">
              <w:rPr>
                <w:rFonts w:ascii="Times New Roman" w:hAnsi="Times New Roman" w:cs="Times New Roman"/>
                <w:sz w:val="20"/>
                <w:szCs w:val="20"/>
              </w:rPr>
              <w:t xml:space="preserve">miany dotyczące ustaw o działalności gospodarczej są </w:t>
            </w:r>
            <w:r>
              <w:rPr>
                <w:rFonts w:ascii="Times New Roman" w:hAnsi="Times New Roman" w:cs="Times New Roman"/>
                <w:sz w:val="20"/>
                <w:szCs w:val="20"/>
              </w:rPr>
              <w:t xml:space="preserve">w dalszym ciągu </w:t>
            </w:r>
            <w:r w:rsidRPr="00301F24">
              <w:rPr>
                <w:rFonts w:ascii="Times New Roman" w:hAnsi="Times New Roman" w:cs="Times New Roman"/>
                <w:sz w:val="20"/>
                <w:szCs w:val="20"/>
              </w:rPr>
              <w:t>tylko zapowiedziami, ich brak ma coraz większy wpływ na przedsiębiorczość.</w:t>
            </w:r>
            <w:r>
              <w:rPr>
                <w:rFonts w:ascii="Times New Roman" w:hAnsi="Times New Roman" w:cs="Times New Roman"/>
                <w:sz w:val="20"/>
                <w:szCs w:val="20"/>
              </w:rPr>
              <w:t xml:space="preserve"> W obszarze wydawniczym brak ustawy o książce.</w:t>
            </w:r>
          </w:p>
        </w:tc>
        <w:tc>
          <w:tcPr>
            <w:tcW w:w="1134" w:type="dxa"/>
            <w:vAlign w:val="center"/>
          </w:tcPr>
          <w:p w:rsidR="00651111" w:rsidRPr="00301F24" w:rsidRDefault="00651111" w:rsidP="00E348C3">
            <w:pPr>
              <w:jc w:val="center"/>
              <w:rPr>
                <w:rFonts w:ascii="Times New Roman" w:hAnsi="Times New Roman" w:cs="Times New Roman"/>
                <w:sz w:val="20"/>
                <w:szCs w:val="20"/>
              </w:rPr>
            </w:pPr>
            <w:r>
              <w:rPr>
                <w:rFonts w:ascii="Times New Roman" w:hAnsi="Times New Roman" w:cs="Times New Roman"/>
                <w:sz w:val="20"/>
                <w:szCs w:val="20"/>
              </w:rPr>
              <w:t>wzrost</w:t>
            </w:r>
          </w:p>
        </w:tc>
        <w:tc>
          <w:tcPr>
            <w:tcW w:w="1134" w:type="dxa"/>
            <w:vAlign w:val="center"/>
          </w:tcPr>
          <w:p w:rsidR="00651111" w:rsidRPr="00301F24" w:rsidRDefault="00651111" w:rsidP="00E348C3">
            <w:pPr>
              <w:jc w:val="center"/>
              <w:rPr>
                <w:rFonts w:ascii="Times New Roman" w:hAnsi="Times New Roman" w:cs="Times New Roman"/>
                <w:sz w:val="20"/>
                <w:szCs w:val="20"/>
              </w:rPr>
            </w:pPr>
            <w:r w:rsidRPr="00301F24">
              <w:rPr>
                <w:rFonts w:ascii="Times New Roman" w:hAnsi="Times New Roman" w:cs="Times New Roman"/>
                <w:sz w:val="20"/>
                <w:szCs w:val="20"/>
              </w:rPr>
              <w:t>wzrost</w:t>
            </w:r>
          </w:p>
        </w:tc>
      </w:tr>
      <w:tr w:rsidR="00651111" w:rsidTr="006D4BAF">
        <w:trPr>
          <w:trHeight w:val="620"/>
        </w:trPr>
        <w:tc>
          <w:tcPr>
            <w:tcW w:w="2269" w:type="dxa"/>
          </w:tcPr>
          <w:p w:rsidR="00651111" w:rsidRPr="00301F24" w:rsidRDefault="00651111" w:rsidP="00E348C3">
            <w:pPr>
              <w:rPr>
                <w:rFonts w:ascii="Times New Roman" w:hAnsi="Times New Roman" w:cs="Times New Roman"/>
                <w:sz w:val="20"/>
                <w:szCs w:val="20"/>
              </w:rPr>
            </w:pPr>
            <w:r w:rsidRPr="00301F24">
              <w:rPr>
                <w:rFonts w:ascii="Times New Roman" w:hAnsi="Times New Roman" w:cs="Times New Roman"/>
                <w:sz w:val="20"/>
                <w:szCs w:val="20"/>
              </w:rPr>
              <w:lastRenderedPageBreak/>
              <w:t>Stabilność krajowej sceny politycznej</w:t>
            </w:r>
          </w:p>
        </w:tc>
        <w:tc>
          <w:tcPr>
            <w:tcW w:w="5244" w:type="dxa"/>
          </w:tcPr>
          <w:p w:rsidR="00651111" w:rsidRPr="00301F24" w:rsidRDefault="00651111" w:rsidP="00134B3E">
            <w:pPr>
              <w:jc w:val="both"/>
              <w:rPr>
                <w:rFonts w:ascii="Times New Roman" w:hAnsi="Times New Roman" w:cs="Times New Roman"/>
                <w:sz w:val="20"/>
                <w:szCs w:val="20"/>
              </w:rPr>
            </w:pPr>
            <w:r>
              <w:rPr>
                <w:rFonts w:ascii="Times New Roman" w:hAnsi="Times New Roman" w:cs="Times New Roman"/>
                <w:sz w:val="20"/>
                <w:szCs w:val="20"/>
              </w:rPr>
              <w:t>Do czasu wyborów raczej nie będzie przebudowy sceny politycznej, ale są sygnały wskazujące na możliwość znacznego przebudowania sceny politycznej.</w:t>
            </w:r>
          </w:p>
        </w:tc>
        <w:tc>
          <w:tcPr>
            <w:tcW w:w="1134" w:type="dxa"/>
            <w:vAlign w:val="center"/>
          </w:tcPr>
          <w:p w:rsidR="00651111" w:rsidRPr="00301F24" w:rsidRDefault="00651111" w:rsidP="00E348C3">
            <w:pPr>
              <w:jc w:val="center"/>
              <w:rPr>
                <w:rFonts w:ascii="Times New Roman" w:hAnsi="Times New Roman" w:cs="Times New Roman"/>
                <w:sz w:val="20"/>
                <w:szCs w:val="20"/>
              </w:rPr>
            </w:pPr>
            <w:r>
              <w:rPr>
                <w:rFonts w:ascii="Times New Roman" w:hAnsi="Times New Roman" w:cs="Times New Roman"/>
                <w:sz w:val="20"/>
                <w:szCs w:val="20"/>
              </w:rPr>
              <w:t>stabilizacja</w:t>
            </w:r>
          </w:p>
        </w:tc>
        <w:tc>
          <w:tcPr>
            <w:tcW w:w="1134" w:type="dxa"/>
            <w:vAlign w:val="center"/>
          </w:tcPr>
          <w:p w:rsidR="00651111" w:rsidRPr="00301F24" w:rsidRDefault="00651111" w:rsidP="00E348C3">
            <w:pPr>
              <w:jc w:val="center"/>
              <w:rPr>
                <w:rFonts w:ascii="Times New Roman" w:hAnsi="Times New Roman" w:cs="Times New Roman"/>
                <w:sz w:val="20"/>
                <w:szCs w:val="20"/>
              </w:rPr>
            </w:pPr>
            <w:r>
              <w:rPr>
                <w:rFonts w:ascii="Times New Roman" w:hAnsi="Times New Roman" w:cs="Times New Roman"/>
                <w:sz w:val="20"/>
                <w:szCs w:val="20"/>
              </w:rPr>
              <w:t>wzrost</w:t>
            </w:r>
          </w:p>
        </w:tc>
      </w:tr>
      <w:tr w:rsidR="00651111" w:rsidTr="006D4BAF">
        <w:tc>
          <w:tcPr>
            <w:tcW w:w="2269" w:type="dxa"/>
          </w:tcPr>
          <w:p w:rsidR="00651111" w:rsidRPr="00301F24" w:rsidRDefault="00651111" w:rsidP="00E348C3">
            <w:pPr>
              <w:rPr>
                <w:rFonts w:ascii="Times New Roman" w:hAnsi="Times New Roman" w:cs="Times New Roman"/>
                <w:sz w:val="20"/>
                <w:szCs w:val="20"/>
              </w:rPr>
            </w:pPr>
            <w:r w:rsidRPr="00301F24">
              <w:rPr>
                <w:rFonts w:ascii="Times New Roman" w:hAnsi="Times New Roman" w:cs="Times New Roman"/>
                <w:sz w:val="20"/>
                <w:szCs w:val="20"/>
              </w:rPr>
              <w:t>Konflikty i rewolucje społeczne na świecie</w:t>
            </w:r>
          </w:p>
        </w:tc>
        <w:tc>
          <w:tcPr>
            <w:tcW w:w="5244" w:type="dxa"/>
          </w:tcPr>
          <w:p w:rsidR="00651111" w:rsidRPr="00301F24" w:rsidRDefault="00651111" w:rsidP="00134B3E">
            <w:pPr>
              <w:jc w:val="both"/>
              <w:rPr>
                <w:rFonts w:ascii="Times New Roman" w:hAnsi="Times New Roman" w:cs="Times New Roman"/>
                <w:sz w:val="20"/>
                <w:szCs w:val="20"/>
              </w:rPr>
            </w:pPr>
            <w:r w:rsidRPr="00D123AA">
              <w:rPr>
                <w:rFonts w:ascii="Times New Roman" w:hAnsi="Times New Roman" w:cs="Times New Roman"/>
                <w:sz w:val="20"/>
                <w:szCs w:val="20"/>
              </w:rPr>
              <w:t xml:space="preserve">Rewolucje społeczne </w:t>
            </w:r>
            <w:r>
              <w:rPr>
                <w:rFonts w:ascii="Times New Roman" w:hAnsi="Times New Roman" w:cs="Times New Roman"/>
                <w:sz w:val="20"/>
                <w:szCs w:val="20"/>
              </w:rPr>
              <w:t>w krajach</w:t>
            </w:r>
            <w:r w:rsidRPr="00D123AA">
              <w:rPr>
                <w:rFonts w:ascii="Times New Roman" w:hAnsi="Times New Roman" w:cs="Times New Roman"/>
                <w:sz w:val="20"/>
                <w:szCs w:val="20"/>
              </w:rPr>
              <w:t xml:space="preserve"> arabski</w:t>
            </w:r>
            <w:r>
              <w:rPr>
                <w:rFonts w:ascii="Times New Roman" w:hAnsi="Times New Roman" w:cs="Times New Roman"/>
                <w:sz w:val="20"/>
                <w:szCs w:val="20"/>
              </w:rPr>
              <w:t>ch nie osiągnęły jeszcze „masy krytycznej” i trwają tam permanentne krwawe niepokoje społeczne. Ważnym elementem są również niepokoje w południowych krajach UE lub zapowiedzi takich niepokojów np. we Francji.</w:t>
            </w:r>
          </w:p>
        </w:tc>
        <w:tc>
          <w:tcPr>
            <w:tcW w:w="1134" w:type="dxa"/>
            <w:vAlign w:val="center"/>
          </w:tcPr>
          <w:p w:rsidR="00651111" w:rsidRPr="00301F24" w:rsidRDefault="00651111" w:rsidP="00E348C3">
            <w:pPr>
              <w:jc w:val="center"/>
              <w:rPr>
                <w:rFonts w:ascii="Times New Roman" w:hAnsi="Times New Roman" w:cs="Times New Roman"/>
                <w:sz w:val="20"/>
                <w:szCs w:val="20"/>
              </w:rPr>
            </w:pPr>
            <w:r>
              <w:rPr>
                <w:rFonts w:ascii="Times New Roman" w:hAnsi="Times New Roman" w:cs="Times New Roman"/>
                <w:sz w:val="20"/>
                <w:szCs w:val="20"/>
              </w:rPr>
              <w:t>stabilizacja</w:t>
            </w:r>
          </w:p>
        </w:tc>
        <w:tc>
          <w:tcPr>
            <w:tcW w:w="1134" w:type="dxa"/>
            <w:vAlign w:val="center"/>
          </w:tcPr>
          <w:p w:rsidR="00651111" w:rsidRPr="00301F24" w:rsidRDefault="00651111" w:rsidP="00E348C3">
            <w:pPr>
              <w:jc w:val="center"/>
              <w:rPr>
                <w:rFonts w:ascii="Times New Roman" w:hAnsi="Times New Roman" w:cs="Times New Roman"/>
                <w:sz w:val="20"/>
                <w:szCs w:val="20"/>
              </w:rPr>
            </w:pPr>
            <w:r w:rsidRPr="00301F24">
              <w:rPr>
                <w:rFonts w:ascii="Times New Roman" w:hAnsi="Times New Roman" w:cs="Times New Roman"/>
                <w:sz w:val="20"/>
                <w:szCs w:val="20"/>
              </w:rPr>
              <w:t>wzrost</w:t>
            </w:r>
          </w:p>
        </w:tc>
      </w:tr>
      <w:tr w:rsidR="00651111" w:rsidTr="006D4BAF">
        <w:tc>
          <w:tcPr>
            <w:tcW w:w="2269" w:type="dxa"/>
          </w:tcPr>
          <w:p w:rsidR="00651111" w:rsidRPr="00301F24" w:rsidRDefault="00651111" w:rsidP="00E348C3">
            <w:pPr>
              <w:rPr>
                <w:rFonts w:ascii="Times New Roman" w:hAnsi="Times New Roman" w:cs="Times New Roman"/>
                <w:sz w:val="20"/>
                <w:szCs w:val="20"/>
              </w:rPr>
            </w:pPr>
            <w:r>
              <w:rPr>
                <w:rFonts w:ascii="Times New Roman" w:hAnsi="Times New Roman" w:cs="Times New Roman"/>
                <w:sz w:val="20"/>
                <w:szCs w:val="20"/>
              </w:rPr>
              <w:t>R</w:t>
            </w:r>
            <w:r w:rsidRPr="00F14974">
              <w:rPr>
                <w:rFonts w:ascii="Times New Roman" w:hAnsi="Times New Roman" w:cs="Times New Roman"/>
                <w:sz w:val="20"/>
                <w:szCs w:val="20"/>
              </w:rPr>
              <w:t xml:space="preserve">elacje między rządem a </w:t>
            </w:r>
            <w:r>
              <w:rPr>
                <w:rFonts w:ascii="Times New Roman" w:hAnsi="Times New Roman" w:cs="Times New Roman"/>
                <w:sz w:val="20"/>
                <w:szCs w:val="20"/>
              </w:rPr>
              <w:t>sektorem gospodarki</w:t>
            </w:r>
          </w:p>
        </w:tc>
        <w:tc>
          <w:tcPr>
            <w:tcW w:w="5244" w:type="dxa"/>
          </w:tcPr>
          <w:p w:rsidR="00651111" w:rsidRPr="00D123AA" w:rsidRDefault="00651111" w:rsidP="00134B3E">
            <w:pPr>
              <w:jc w:val="both"/>
              <w:rPr>
                <w:rFonts w:ascii="Times New Roman" w:hAnsi="Times New Roman" w:cs="Times New Roman"/>
                <w:sz w:val="20"/>
                <w:szCs w:val="20"/>
              </w:rPr>
            </w:pPr>
            <w:r>
              <w:rPr>
                <w:rFonts w:ascii="Times New Roman" w:hAnsi="Times New Roman" w:cs="Times New Roman"/>
                <w:sz w:val="20"/>
                <w:szCs w:val="20"/>
              </w:rPr>
              <w:t>Werbalne zapewnienia rządu o wspieraniu książki i czytelnictwa nie zamieniają się w konkretne działania</w:t>
            </w:r>
          </w:p>
        </w:tc>
        <w:tc>
          <w:tcPr>
            <w:tcW w:w="1134" w:type="dxa"/>
            <w:vAlign w:val="center"/>
          </w:tcPr>
          <w:p w:rsidR="00651111" w:rsidRPr="00D123AA" w:rsidRDefault="00651111" w:rsidP="00E348C3">
            <w:pPr>
              <w:jc w:val="center"/>
              <w:rPr>
                <w:rFonts w:ascii="Times New Roman" w:hAnsi="Times New Roman" w:cs="Times New Roman"/>
                <w:sz w:val="20"/>
                <w:szCs w:val="20"/>
              </w:rPr>
            </w:pPr>
            <w:r w:rsidRPr="00D123AA">
              <w:rPr>
                <w:rFonts w:ascii="Times New Roman" w:hAnsi="Times New Roman" w:cs="Times New Roman"/>
                <w:sz w:val="20"/>
                <w:szCs w:val="20"/>
              </w:rPr>
              <w:t>stabilizacja</w:t>
            </w:r>
          </w:p>
        </w:tc>
        <w:tc>
          <w:tcPr>
            <w:tcW w:w="1134" w:type="dxa"/>
            <w:vAlign w:val="center"/>
          </w:tcPr>
          <w:p w:rsidR="00651111" w:rsidRPr="00D123AA" w:rsidRDefault="00651111" w:rsidP="00E348C3">
            <w:pPr>
              <w:jc w:val="center"/>
              <w:rPr>
                <w:rFonts w:ascii="Times New Roman" w:hAnsi="Times New Roman" w:cs="Times New Roman"/>
                <w:sz w:val="20"/>
                <w:szCs w:val="20"/>
              </w:rPr>
            </w:pPr>
            <w:r>
              <w:rPr>
                <w:rFonts w:ascii="Times New Roman" w:hAnsi="Times New Roman" w:cs="Times New Roman"/>
                <w:sz w:val="20"/>
                <w:szCs w:val="20"/>
              </w:rPr>
              <w:t>wzrost</w:t>
            </w:r>
          </w:p>
        </w:tc>
      </w:tr>
      <w:tr w:rsidR="00651111" w:rsidTr="006D4BAF">
        <w:tc>
          <w:tcPr>
            <w:tcW w:w="2269" w:type="dxa"/>
          </w:tcPr>
          <w:p w:rsidR="00651111" w:rsidRPr="00301F24" w:rsidRDefault="00651111" w:rsidP="00E348C3">
            <w:pPr>
              <w:rPr>
                <w:rFonts w:ascii="Times New Roman" w:hAnsi="Times New Roman" w:cs="Times New Roman"/>
                <w:sz w:val="20"/>
                <w:szCs w:val="20"/>
              </w:rPr>
            </w:pPr>
            <w:r w:rsidRPr="00301F24">
              <w:rPr>
                <w:rFonts w:ascii="Times New Roman" w:hAnsi="Times New Roman" w:cs="Times New Roman"/>
                <w:sz w:val="20"/>
                <w:szCs w:val="20"/>
              </w:rPr>
              <w:t>Stabilność władzy</w:t>
            </w:r>
          </w:p>
          <w:p w:rsidR="00651111" w:rsidRPr="00301F24" w:rsidRDefault="00651111" w:rsidP="00E348C3">
            <w:pPr>
              <w:rPr>
                <w:rFonts w:ascii="Times New Roman" w:hAnsi="Times New Roman" w:cs="Times New Roman"/>
                <w:sz w:val="20"/>
                <w:szCs w:val="20"/>
              </w:rPr>
            </w:pPr>
          </w:p>
        </w:tc>
        <w:tc>
          <w:tcPr>
            <w:tcW w:w="5244" w:type="dxa"/>
          </w:tcPr>
          <w:p w:rsidR="00651111" w:rsidRPr="00301F24" w:rsidRDefault="00651111" w:rsidP="00134B3E">
            <w:pPr>
              <w:jc w:val="both"/>
              <w:rPr>
                <w:rFonts w:ascii="Times New Roman" w:hAnsi="Times New Roman" w:cs="Times New Roman"/>
                <w:sz w:val="20"/>
                <w:szCs w:val="20"/>
              </w:rPr>
            </w:pPr>
            <w:r>
              <w:rPr>
                <w:rFonts w:ascii="Times New Roman" w:hAnsi="Times New Roman" w:cs="Times New Roman"/>
                <w:sz w:val="20"/>
                <w:szCs w:val="20"/>
              </w:rPr>
              <w:t>Kolejne wybory do sejmu odbędą się w 2015 roku, wcześniej będą wybory samorządowe lub referenda samorządowe.</w:t>
            </w:r>
          </w:p>
        </w:tc>
        <w:tc>
          <w:tcPr>
            <w:tcW w:w="1134" w:type="dxa"/>
            <w:vAlign w:val="center"/>
          </w:tcPr>
          <w:p w:rsidR="00651111" w:rsidRPr="00301F24" w:rsidRDefault="00651111" w:rsidP="00E348C3">
            <w:pPr>
              <w:jc w:val="center"/>
              <w:rPr>
                <w:rFonts w:ascii="Times New Roman" w:hAnsi="Times New Roman" w:cs="Times New Roman"/>
                <w:sz w:val="20"/>
                <w:szCs w:val="20"/>
              </w:rPr>
            </w:pPr>
            <w:r w:rsidRPr="00301F24">
              <w:rPr>
                <w:rFonts w:ascii="Times New Roman" w:hAnsi="Times New Roman" w:cs="Times New Roman"/>
                <w:sz w:val="20"/>
                <w:szCs w:val="20"/>
              </w:rPr>
              <w:t>stabilizacja</w:t>
            </w:r>
          </w:p>
        </w:tc>
        <w:tc>
          <w:tcPr>
            <w:tcW w:w="1134" w:type="dxa"/>
            <w:vAlign w:val="center"/>
          </w:tcPr>
          <w:p w:rsidR="00651111" w:rsidRPr="00301F24" w:rsidRDefault="00651111" w:rsidP="00E348C3">
            <w:pPr>
              <w:jc w:val="center"/>
              <w:rPr>
                <w:rFonts w:ascii="Times New Roman" w:hAnsi="Times New Roman" w:cs="Times New Roman"/>
                <w:sz w:val="20"/>
                <w:szCs w:val="20"/>
              </w:rPr>
            </w:pPr>
            <w:r>
              <w:rPr>
                <w:rFonts w:ascii="Times New Roman" w:hAnsi="Times New Roman" w:cs="Times New Roman"/>
                <w:sz w:val="20"/>
                <w:szCs w:val="20"/>
              </w:rPr>
              <w:t>wzrost</w:t>
            </w:r>
          </w:p>
        </w:tc>
      </w:tr>
      <w:tr w:rsidR="00651111" w:rsidTr="006D4BAF">
        <w:tc>
          <w:tcPr>
            <w:tcW w:w="2269" w:type="dxa"/>
          </w:tcPr>
          <w:p w:rsidR="00651111" w:rsidRPr="00301F24" w:rsidRDefault="00651111" w:rsidP="00E348C3">
            <w:pPr>
              <w:rPr>
                <w:rFonts w:ascii="Times New Roman" w:hAnsi="Times New Roman" w:cs="Times New Roman"/>
                <w:sz w:val="20"/>
                <w:szCs w:val="20"/>
              </w:rPr>
            </w:pPr>
            <w:r w:rsidRPr="00301F24">
              <w:rPr>
                <w:rFonts w:ascii="Times New Roman" w:hAnsi="Times New Roman" w:cs="Times New Roman"/>
                <w:sz w:val="20"/>
                <w:szCs w:val="20"/>
              </w:rPr>
              <w:t>Stabilność prawa</w:t>
            </w:r>
          </w:p>
          <w:p w:rsidR="00651111" w:rsidRPr="00301F24" w:rsidRDefault="00651111" w:rsidP="00E348C3">
            <w:pPr>
              <w:rPr>
                <w:rFonts w:ascii="Times New Roman" w:hAnsi="Times New Roman" w:cs="Times New Roman"/>
                <w:sz w:val="20"/>
                <w:szCs w:val="20"/>
              </w:rPr>
            </w:pPr>
          </w:p>
        </w:tc>
        <w:tc>
          <w:tcPr>
            <w:tcW w:w="5244" w:type="dxa"/>
          </w:tcPr>
          <w:p w:rsidR="00651111" w:rsidRPr="00301F24" w:rsidRDefault="00651111" w:rsidP="00134B3E">
            <w:pPr>
              <w:jc w:val="both"/>
              <w:rPr>
                <w:rFonts w:ascii="Times New Roman" w:hAnsi="Times New Roman" w:cs="Times New Roman"/>
                <w:sz w:val="20"/>
                <w:szCs w:val="20"/>
              </w:rPr>
            </w:pPr>
            <w:r w:rsidRPr="00301F24">
              <w:rPr>
                <w:rFonts w:ascii="Times New Roman" w:hAnsi="Times New Roman" w:cs="Times New Roman"/>
                <w:sz w:val="20"/>
                <w:szCs w:val="20"/>
              </w:rPr>
              <w:t>Brak istotnych zmian oznacza stabilność i coraz mniejszy wpływ na działalność gospodarczą</w:t>
            </w:r>
            <w:r>
              <w:rPr>
                <w:rFonts w:ascii="Times New Roman" w:hAnsi="Times New Roman" w:cs="Times New Roman"/>
                <w:sz w:val="20"/>
                <w:szCs w:val="20"/>
              </w:rPr>
              <w:t>.</w:t>
            </w:r>
          </w:p>
        </w:tc>
        <w:tc>
          <w:tcPr>
            <w:tcW w:w="1134" w:type="dxa"/>
            <w:vAlign w:val="center"/>
          </w:tcPr>
          <w:p w:rsidR="00651111" w:rsidRPr="00301F24" w:rsidRDefault="00651111" w:rsidP="00E348C3">
            <w:pPr>
              <w:jc w:val="center"/>
              <w:rPr>
                <w:rFonts w:ascii="Times New Roman" w:hAnsi="Times New Roman" w:cs="Times New Roman"/>
                <w:sz w:val="20"/>
                <w:szCs w:val="20"/>
              </w:rPr>
            </w:pPr>
            <w:r w:rsidRPr="00301F24">
              <w:rPr>
                <w:rFonts w:ascii="Times New Roman" w:hAnsi="Times New Roman" w:cs="Times New Roman"/>
                <w:sz w:val="20"/>
                <w:szCs w:val="20"/>
              </w:rPr>
              <w:t>stabilizacja</w:t>
            </w:r>
          </w:p>
        </w:tc>
        <w:tc>
          <w:tcPr>
            <w:tcW w:w="1134" w:type="dxa"/>
            <w:vAlign w:val="center"/>
          </w:tcPr>
          <w:p w:rsidR="00651111" w:rsidRPr="00301F24" w:rsidRDefault="00651111" w:rsidP="00E348C3">
            <w:pPr>
              <w:jc w:val="center"/>
              <w:rPr>
                <w:rFonts w:ascii="Times New Roman" w:hAnsi="Times New Roman" w:cs="Times New Roman"/>
                <w:sz w:val="20"/>
                <w:szCs w:val="20"/>
              </w:rPr>
            </w:pPr>
            <w:r w:rsidRPr="00301F24">
              <w:rPr>
                <w:rFonts w:ascii="Times New Roman" w:hAnsi="Times New Roman" w:cs="Times New Roman"/>
                <w:sz w:val="20"/>
                <w:szCs w:val="20"/>
              </w:rPr>
              <w:t>regres</w:t>
            </w:r>
          </w:p>
        </w:tc>
      </w:tr>
    </w:tbl>
    <w:p w:rsidR="005C19EB" w:rsidRDefault="005C19EB" w:rsidP="009802A2">
      <w:pPr>
        <w:spacing w:after="0" w:line="240" w:lineRule="auto"/>
        <w:rPr>
          <w:rFonts w:ascii="Times New Roman" w:hAnsi="Times New Roman" w:cs="Times New Roman"/>
          <w:b/>
          <w:bCs/>
          <w:sz w:val="24"/>
          <w:szCs w:val="24"/>
        </w:rPr>
      </w:pPr>
    </w:p>
    <w:p w:rsidR="005C19EB" w:rsidRDefault="005C19EB" w:rsidP="009802A2">
      <w:pPr>
        <w:spacing w:after="0" w:line="240" w:lineRule="auto"/>
        <w:rPr>
          <w:rFonts w:ascii="Times New Roman" w:hAnsi="Times New Roman" w:cs="Times New Roman"/>
          <w:b/>
          <w:bCs/>
          <w:sz w:val="24"/>
          <w:szCs w:val="24"/>
        </w:rPr>
      </w:pPr>
    </w:p>
    <w:p w:rsidR="00DD4395" w:rsidRDefault="00DD4395" w:rsidP="009802A2">
      <w:pPr>
        <w:spacing w:after="0" w:line="240" w:lineRule="auto"/>
        <w:rPr>
          <w:rFonts w:ascii="Times New Roman" w:hAnsi="Times New Roman" w:cs="Times New Roman"/>
          <w:b/>
          <w:bCs/>
          <w:sz w:val="24"/>
          <w:szCs w:val="24"/>
        </w:rPr>
      </w:pPr>
      <w:r w:rsidRPr="00F5141D">
        <w:rPr>
          <w:rFonts w:ascii="Times New Roman" w:hAnsi="Times New Roman" w:cs="Times New Roman"/>
          <w:b/>
          <w:bCs/>
          <w:sz w:val="24"/>
          <w:szCs w:val="24"/>
        </w:rPr>
        <w:t>Sfera Ekonomiczna</w:t>
      </w:r>
    </w:p>
    <w:p w:rsidR="005C19EB" w:rsidRDefault="005C19EB" w:rsidP="009802A2">
      <w:pPr>
        <w:spacing w:after="0" w:line="240" w:lineRule="auto"/>
        <w:rPr>
          <w:rFonts w:ascii="Times New Roman" w:hAnsi="Times New Roman" w:cs="Times New Roman"/>
          <w:b/>
          <w:bCs/>
          <w:sz w:val="24"/>
          <w:szCs w:val="24"/>
        </w:rPr>
      </w:pPr>
    </w:p>
    <w:p w:rsidR="00134B3E" w:rsidRPr="00F5141D" w:rsidRDefault="00134B3E" w:rsidP="009802A2">
      <w:pPr>
        <w:spacing w:after="0" w:line="240" w:lineRule="auto"/>
        <w:rPr>
          <w:rFonts w:ascii="Times New Roman" w:hAnsi="Times New Roman" w:cs="Times New Roman"/>
          <w:b/>
          <w:bCs/>
          <w:sz w:val="24"/>
          <w:szCs w:val="24"/>
        </w:rPr>
      </w:pPr>
    </w:p>
    <w:tbl>
      <w:tblPr>
        <w:tblStyle w:val="Tabela-Siatka"/>
        <w:tblW w:w="9923" w:type="dxa"/>
        <w:tblInd w:w="108" w:type="dxa"/>
        <w:tblLayout w:type="fixed"/>
        <w:tblLook w:val="04A0" w:firstRow="1" w:lastRow="0" w:firstColumn="1" w:lastColumn="0" w:noHBand="0" w:noVBand="1"/>
      </w:tblPr>
      <w:tblGrid>
        <w:gridCol w:w="2268"/>
        <w:gridCol w:w="5103"/>
        <w:gridCol w:w="1418"/>
        <w:gridCol w:w="1134"/>
      </w:tblGrid>
      <w:tr w:rsidR="00651111" w:rsidTr="00311275">
        <w:trPr>
          <w:trHeight w:val="278"/>
        </w:trPr>
        <w:tc>
          <w:tcPr>
            <w:tcW w:w="2268" w:type="dxa"/>
            <w:vMerge w:val="restart"/>
          </w:tcPr>
          <w:p w:rsidR="00651111" w:rsidRPr="0033372E" w:rsidRDefault="00651111" w:rsidP="00E348C3">
            <w:pPr>
              <w:ind w:right="302"/>
              <w:jc w:val="center"/>
              <w:rPr>
                <w:rFonts w:ascii="Times New Roman" w:hAnsi="Times New Roman" w:cs="Times New Roman"/>
                <w:b/>
                <w:sz w:val="24"/>
                <w:szCs w:val="24"/>
              </w:rPr>
            </w:pPr>
            <w:r w:rsidRPr="0033372E">
              <w:rPr>
                <w:rFonts w:ascii="Times New Roman" w:hAnsi="Times New Roman" w:cs="Times New Roman"/>
                <w:b/>
                <w:sz w:val="24"/>
                <w:szCs w:val="24"/>
              </w:rPr>
              <w:t>Czynniki makrootoczenia</w:t>
            </w:r>
          </w:p>
        </w:tc>
        <w:tc>
          <w:tcPr>
            <w:tcW w:w="5103" w:type="dxa"/>
            <w:vMerge w:val="restart"/>
            <w:vAlign w:val="center"/>
          </w:tcPr>
          <w:p w:rsidR="00651111" w:rsidRPr="0033372E" w:rsidRDefault="00651111" w:rsidP="00E348C3">
            <w:pPr>
              <w:jc w:val="center"/>
              <w:rPr>
                <w:rFonts w:ascii="Times New Roman" w:hAnsi="Times New Roman" w:cs="Times New Roman"/>
                <w:b/>
                <w:sz w:val="24"/>
                <w:szCs w:val="24"/>
              </w:rPr>
            </w:pPr>
            <w:r w:rsidRPr="0033372E">
              <w:rPr>
                <w:rFonts w:ascii="Times New Roman" w:hAnsi="Times New Roman" w:cs="Times New Roman"/>
                <w:b/>
                <w:sz w:val="24"/>
                <w:szCs w:val="24"/>
              </w:rPr>
              <w:t>Komentarz</w:t>
            </w:r>
          </w:p>
        </w:tc>
        <w:tc>
          <w:tcPr>
            <w:tcW w:w="2552" w:type="dxa"/>
            <w:gridSpan w:val="2"/>
          </w:tcPr>
          <w:p w:rsidR="00651111" w:rsidRPr="0033372E" w:rsidRDefault="00651111" w:rsidP="00E348C3">
            <w:pPr>
              <w:ind w:left="-108"/>
              <w:jc w:val="center"/>
              <w:rPr>
                <w:rFonts w:ascii="Times New Roman" w:hAnsi="Times New Roman" w:cs="Times New Roman"/>
                <w:b/>
                <w:sz w:val="24"/>
                <w:szCs w:val="24"/>
              </w:rPr>
            </w:pPr>
            <w:r w:rsidRPr="0033372E">
              <w:rPr>
                <w:rFonts w:ascii="Times New Roman" w:hAnsi="Times New Roman" w:cs="Times New Roman"/>
                <w:b/>
                <w:sz w:val="24"/>
                <w:szCs w:val="24"/>
              </w:rPr>
              <w:t xml:space="preserve">Kierunek </w:t>
            </w:r>
            <w:r>
              <w:rPr>
                <w:rFonts w:ascii="Times New Roman" w:hAnsi="Times New Roman" w:cs="Times New Roman"/>
                <w:b/>
                <w:sz w:val="24"/>
                <w:szCs w:val="24"/>
              </w:rPr>
              <w:t>siły wpływu</w:t>
            </w:r>
          </w:p>
        </w:tc>
      </w:tr>
      <w:tr w:rsidR="00651111" w:rsidTr="00311275">
        <w:trPr>
          <w:trHeight w:val="277"/>
        </w:trPr>
        <w:tc>
          <w:tcPr>
            <w:tcW w:w="2268" w:type="dxa"/>
            <w:vMerge/>
          </w:tcPr>
          <w:p w:rsidR="00651111" w:rsidRPr="0033372E" w:rsidRDefault="00651111" w:rsidP="00E348C3">
            <w:pPr>
              <w:ind w:right="302"/>
              <w:jc w:val="center"/>
              <w:rPr>
                <w:rFonts w:ascii="Times New Roman" w:hAnsi="Times New Roman" w:cs="Times New Roman"/>
                <w:b/>
                <w:sz w:val="24"/>
                <w:szCs w:val="24"/>
              </w:rPr>
            </w:pPr>
          </w:p>
        </w:tc>
        <w:tc>
          <w:tcPr>
            <w:tcW w:w="5103" w:type="dxa"/>
            <w:vMerge/>
            <w:vAlign w:val="center"/>
          </w:tcPr>
          <w:p w:rsidR="00651111" w:rsidRPr="0033372E" w:rsidRDefault="00651111" w:rsidP="00E348C3">
            <w:pPr>
              <w:jc w:val="center"/>
              <w:rPr>
                <w:rFonts w:ascii="Times New Roman" w:hAnsi="Times New Roman" w:cs="Times New Roman"/>
                <w:b/>
                <w:sz w:val="24"/>
                <w:szCs w:val="24"/>
              </w:rPr>
            </w:pPr>
          </w:p>
        </w:tc>
        <w:tc>
          <w:tcPr>
            <w:tcW w:w="1418" w:type="dxa"/>
          </w:tcPr>
          <w:p w:rsidR="00651111" w:rsidRPr="00A54D27" w:rsidRDefault="00651111" w:rsidP="00E348C3">
            <w:pPr>
              <w:ind w:left="-108"/>
              <w:jc w:val="center"/>
              <w:rPr>
                <w:rFonts w:ascii="Times New Roman" w:hAnsi="Times New Roman" w:cs="Times New Roman"/>
                <w:sz w:val="24"/>
                <w:szCs w:val="24"/>
              </w:rPr>
            </w:pPr>
            <w:r>
              <w:rPr>
                <w:rFonts w:ascii="Times New Roman" w:hAnsi="Times New Roman" w:cs="Times New Roman"/>
                <w:sz w:val="24"/>
                <w:szCs w:val="24"/>
              </w:rPr>
              <w:t>obecnie</w:t>
            </w:r>
          </w:p>
        </w:tc>
        <w:tc>
          <w:tcPr>
            <w:tcW w:w="1134" w:type="dxa"/>
          </w:tcPr>
          <w:p w:rsidR="00651111" w:rsidRPr="00A54D27" w:rsidRDefault="00651111" w:rsidP="00E348C3">
            <w:pPr>
              <w:ind w:left="-108"/>
              <w:jc w:val="center"/>
              <w:rPr>
                <w:rFonts w:ascii="Times New Roman" w:hAnsi="Times New Roman" w:cs="Times New Roman"/>
                <w:sz w:val="24"/>
                <w:szCs w:val="24"/>
              </w:rPr>
            </w:pPr>
            <w:r>
              <w:rPr>
                <w:rFonts w:ascii="Times New Roman" w:hAnsi="Times New Roman" w:cs="Times New Roman"/>
                <w:sz w:val="24"/>
                <w:szCs w:val="24"/>
              </w:rPr>
              <w:t>przyszłość</w:t>
            </w:r>
          </w:p>
        </w:tc>
      </w:tr>
      <w:tr w:rsidR="00651111" w:rsidRPr="00C32A6B" w:rsidTr="006D4BAF">
        <w:trPr>
          <w:trHeight w:val="1897"/>
        </w:trPr>
        <w:tc>
          <w:tcPr>
            <w:tcW w:w="2268"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Fundusze pomocowe z UE</w:t>
            </w:r>
          </w:p>
        </w:tc>
        <w:tc>
          <w:tcPr>
            <w:tcW w:w="5103" w:type="dxa"/>
          </w:tcPr>
          <w:p w:rsidR="00651111" w:rsidRPr="00C32A6B" w:rsidRDefault="00651111" w:rsidP="00134B3E">
            <w:pPr>
              <w:rPr>
                <w:rFonts w:ascii="Times New Roman" w:hAnsi="Times New Roman" w:cs="Times New Roman"/>
                <w:sz w:val="20"/>
                <w:szCs w:val="20"/>
              </w:rPr>
            </w:pPr>
            <w:r>
              <w:rPr>
                <w:rFonts w:ascii="Times New Roman" w:hAnsi="Times New Roman" w:cs="Times New Roman"/>
                <w:sz w:val="20"/>
                <w:szCs w:val="20"/>
              </w:rPr>
              <w:t>Polska między innymi dzięki programom pomocowym</w:t>
            </w:r>
            <w:r w:rsidRPr="00C32A6B">
              <w:rPr>
                <w:rFonts w:ascii="Times New Roman" w:hAnsi="Times New Roman" w:cs="Times New Roman"/>
                <w:sz w:val="20"/>
                <w:szCs w:val="20"/>
              </w:rPr>
              <w:t xml:space="preserve"> UE rozwijać się w szybszym tempie niż inne kraje. PKB na mieszkańca w 2000 roku wynosiło 48</w:t>
            </w:r>
            <w:r w:rsidR="00134B3E">
              <w:rPr>
                <w:rFonts w:ascii="Times New Roman" w:hAnsi="Times New Roman" w:cs="Times New Roman"/>
                <w:sz w:val="20"/>
                <w:szCs w:val="20"/>
              </w:rPr>
              <w:t xml:space="preserve"> proc.</w:t>
            </w:r>
            <w:r w:rsidRPr="00C32A6B">
              <w:rPr>
                <w:rFonts w:ascii="Times New Roman" w:hAnsi="Times New Roman" w:cs="Times New Roman"/>
                <w:sz w:val="20"/>
                <w:szCs w:val="20"/>
              </w:rPr>
              <w:t xml:space="preserve"> średniej unijnej, w 2010 roku</w:t>
            </w:r>
            <w:r w:rsidR="00134B3E">
              <w:rPr>
                <w:rFonts w:ascii="Times New Roman" w:hAnsi="Times New Roman" w:cs="Times New Roman"/>
                <w:sz w:val="20"/>
                <w:szCs w:val="20"/>
              </w:rPr>
              <w:t xml:space="preserve"> 62 proc.</w:t>
            </w:r>
            <w:r w:rsidRPr="00C32A6B">
              <w:rPr>
                <w:rFonts w:ascii="Times New Roman" w:hAnsi="Times New Roman" w:cs="Times New Roman"/>
                <w:sz w:val="20"/>
                <w:szCs w:val="20"/>
              </w:rPr>
              <w:t>, w 201</w:t>
            </w:r>
            <w:r>
              <w:rPr>
                <w:rFonts w:ascii="Times New Roman" w:hAnsi="Times New Roman" w:cs="Times New Roman"/>
                <w:sz w:val="20"/>
                <w:szCs w:val="20"/>
              </w:rPr>
              <w:t>1</w:t>
            </w:r>
            <w:r w:rsidRPr="00C32A6B">
              <w:rPr>
                <w:rFonts w:ascii="Times New Roman" w:hAnsi="Times New Roman" w:cs="Times New Roman"/>
                <w:sz w:val="20"/>
                <w:szCs w:val="20"/>
              </w:rPr>
              <w:t xml:space="preserve"> roku 6</w:t>
            </w:r>
            <w:r>
              <w:rPr>
                <w:rFonts w:ascii="Times New Roman" w:hAnsi="Times New Roman" w:cs="Times New Roman"/>
                <w:sz w:val="20"/>
                <w:szCs w:val="20"/>
              </w:rPr>
              <w:t>5</w:t>
            </w:r>
            <w:r w:rsidR="00134B3E">
              <w:rPr>
                <w:rFonts w:ascii="Times New Roman" w:hAnsi="Times New Roman" w:cs="Times New Roman"/>
                <w:sz w:val="20"/>
                <w:szCs w:val="20"/>
              </w:rPr>
              <w:t xml:space="preserve"> proc.</w:t>
            </w:r>
            <w:r>
              <w:rPr>
                <w:rFonts w:ascii="Times New Roman" w:hAnsi="Times New Roman" w:cs="Times New Roman"/>
                <w:sz w:val="20"/>
                <w:szCs w:val="20"/>
              </w:rPr>
              <w:t>, a w roku 2012wyniosło 66</w:t>
            </w:r>
            <w:r w:rsidR="00134B3E">
              <w:rPr>
                <w:rFonts w:ascii="Times New Roman" w:hAnsi="Times New Roman" w:cs="Times New Roman"/>
                <w:sz w:val="20"/>
                <w:szCs w:val="20"/>
              </w:rPr>
              <w:t xml:space="preserve"> proc.</w:t>
            </w:r>
            <w:r>
              <w:rPr>
                <w:rFonts w:ascii="Times New Roman" w:hAnsi="Times New Roman" w:cs="Times New Roman"/>
                <w:sz w:val="20"/>
                <w:szCs w:val="20"/>
              </w:rPr>
              <w:t xml:space="preserve"> Kolejną wielką szansą są środki na lata 2014-2020, które dla Polski będą jeszcze większe niż w poprzednim programie.</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c>
          <w:tcPr>
            <w:tcW w:w="1134"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311275">
        <w:trPr>
          <w:trHeight w:val="277"/>
        </w:trPr>
        <w:tc>
          <w:tcPr>
            <w:tcW w:w="2268"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 xml:space="preserve">Kryzys finansowy i gospodarczy </w:t>
            </w:r>
          </w:p>
        </w:tc>
        <w:tc>
          <w:tcPr>
            <w:tcW w:w="5103" w:type="dxa"/>
            <w:vAlign w:val="center"/>
          </w:tcPr>
          <w:p w:rsidR="00651111" w:rsidRPr="00C32A6B" w:rsidRDefault="00651111" w:rsidP="00E348C3">
            <w:pPr>
              <w:rPr>
                <w:rFonts w:ascii="Times New Roman" w:hAnsi="Times New Roman" w:cs="Times New Roman"/>
                <w:sz w:val="20"/>
                <w:szCs w:val="20"/>
              </w:rPr>
            </w:pPr>
            <w:r>
              <w:rPr>
                <w:rFonts w:ascii="Times New Roman" w:hAnsi="Times New Roman" w:cs="Times New Roman"/>
                <w:sz w:val="20"/>
                <w:szCs w:val="20"/>
              </w:rPr>
              <w:t>Rok 2012 dawał pewne nadzieje na zakończenie kryzysu, ale trwał on nadal. W połowie 2013 roku są sygnały o ożywieniu gospodarczym zarówno w USA jak również w UE, przede wszystkim w Niemczech.</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c>
          <w:tcPr>
            <w:tcW w:w="1134"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311275">
        <w:trPr>
          <w:trHeight w:val="277"/>
        </w:trPr>
        <w:tc>
          <w:tcPr>
            <w:tcW w:w="2268"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Inwestycje zagraniczne</w:t>
            </w:r>
          </w:p>
        </w:tc>
        <w:tc>
          <w:tcPr>
            <w:tcW w:w="5103"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 xml:space="preserve">Polska w 2010 roku była na 12 miejscu na świecie pod względem atrakcyjności dla inwestorów, w 2011 na 6, a w 2012 </w:t>
            </w:r>
            <w:r>
              <w:rPr>
                <w:rFonts w:ascii="Times New Roman" w:hAnsi="Times New Roman" w:cs="Times New Roman"/>
                <w:sz w:val="20"/>
                <w:szCs w:val="20"/>
              </w:rPr>
              <w:t xml:space="preserve">była </w:t>
            </w:r>
            <w:r w:rsidRPr="00C32A6B">
              <w:rPr>
                <w:rFonts w:ascii="Times New Roman" w:hAnsi="Times New Roman" w:cs="Times New Roman"/>
                <w:sz w:val="20"/>
                <w:szCs w:val="20"/>
              </w:rPr>
              <w:t xml:space="preserve">na 5 miejscu. </w:t>
            </w:r>
            <w:r>
              <w:rPr>
                <w:rFonts w:ascii="Times New Roman" w:hAnsi="Times New Roman" w:cs="Times New Roman"/>
                <w:sz w:val="20"/>
                <w:szCs w:val="20"/>
              </w:rPr>
              <w:t>Wśród krajów środkowoeuropejskich jest na pierwszym miejscu.</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c>
          <w:tcPr>
            <w:tcW w:w="1134"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wzrost</w:t>
            </w:r>
          </w:p>
        </w:tc>
      </w:tr>
      <w:tr w:rsidR="00651111" w:rsidRPr="00C32A6B" w:rsidTr="00311275">
        <w:tc>
          <w:tcPr>
            <w:tcW w:w="2268"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lastRenderedPageBreak/>
              <w:t>Wzrost gospodarczy w Polsce</w:t>
            </w:r>
          </w:p>
        </w:tc>
        <w:tc>
          <w:tcPr>
            <w:tcW w:w="5103" w:type="dxa"/>
          </w:tcPr>
          <w:p w:rsidR="00651111" w:rsidRPr="00C32A6B" w:rsidRDefault="00134B3E" w:rsidP="00134B3E">
            <w:pPr>
              <w:jc w:val="both"/>
              <w:rPr>
                <w:rFonts w:ascii="Times New Roman" w:hAnsi="Times New Roman" w:cs="Times New Roman"/>
                <w:sz w:val="20"/>
                <w:szCs w:val="20"/>
              </w:rPr>
            </w:pPr>
            <w:r>
              <w:rPr>
                <w:rFonts w:ascii="Times New Roman" w:hAnsi="Times New Roman" w:cs="Times New Roman"/>
                <w:sz w:val="20"/>
                <w:szCs w:val="20"/>
              </w:rPr>
              <w:t>2010 – 3,9 proc.; 2011 – 4,3 proc.</w:t>
            </w:r>
            <w:r w:rsidR="00651111" w:rsidRPr="00C32A6B">
              <w:rPr>
                <w:rFonts w:ascii="Times New Roman" w:hAnsi="Times New Roman" w:cs="Times New Roman"/>
                <w:sz w:val="20"/>
                <w:szCs w:val="20"/>
              </w:rPr>
              <w:t xml:space="preserve">, 2012 – </w:t>
            </w:r>
            <w:r>
              <w:rPr>
                <w:rFonts w:ascii="Times New Roman" w:hAnsi="Times New Roman" w:cs="Times New Roman"/>
                <w:sz w:val="20"/>
                <w:szCs w:val="20"/>
              </w:rPr>
              <w:t>1,9 proc.</w:t>
            </w:r>
            <w:r w:rsidR="00651111">
              <w:rPr>
                <w:rFonts w:ascii="Times New Roman" w:hAnsi="Times New Roman" w:cs="Times New Roman"/>
                <w:sz w:val="20"/>
                <w:szCs w:val="20"/>
              </w:rPr>
              <w:t xml:space="preserve"> i pr</w:t>
            </w:r>
            <w:r>
              <w:rPr>
                <w:rFonts w:ascii="Times New Roman" w:hAnsi="Times New Roman" w:cs="Times New Roman"/>
                <w:sz w:val="20"/>
                <w:szCs w:val="20"/>
              </w:rPr>
              <w:t>ognoza na 2013 rok to tylko 1,1 proc.</w:t>
            </w:r>
            <w:r w:rsidR="00651111">
              <w:rPr>
                <w:rFonts w:ascii="Times New Roman" w:hAnsi="Times New Roman" w:cs="Times New Roman"/>
                <w:sz w:val="20"/>
                <w:szCs w:val="20"/>
              </w:rPr>
              <w:t xml:space="preserve">.Dane po I połowie 2013 </w:t>
            </w:r>
            <w:r>
              <w:rPr>
                <w:rFonts w:ascii="Times New Roman" w:hAnsi="Times New Roman" w:cs="Times New Roman"/>
                <w:sz w:val="20"/>
                <w:szCs w:val="20"/>
              </w:rPr>
              <w:t xml:space="preserve">roku </w:t>
            </w:r>
            <w:r w:rsidR="00651111">
              <w:rPr>
                <w:rFonts w:ascii="Times New Roman" w:hAnsi="Times New Roman" w:cs="Times New Roman"/>
                <w:sz w:val="20"/>
                <w:szCs w:val="20"/>
              </w:rPr>
              <w:t>wskazują, że rzeczywiście gospodarka „odbiła od dna” i wynik może być wyższy niż obecna prognoza.</w:t>
            </w:r>
          </w:p>
        </w:tc>
        <w:tc>
          <w:tcPr>
            <w:tcW w:w="1418"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wzrost</w:t>
            </w:r>
          </w:p>
        </w:tc>
        <w:tc>
          <w:tcPr>
            <w:tcW w:w="1134"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311275">
        <w:tc>
          <w:tcPr>
            <w:tcW w:w="2268"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Stopy procentowe</w:t>
            </w:r>
          </w:p>
        </w:tc>
        <w:tc>
          <w:tcPr>
            <w:tcW w:w="5103" w:type="dxa"/>
          </w:tcPr>
          <w:p w:rsidR="00651111" w:rsidRPr="00C32A6B" w:rsidRDefault="00651111" w:rsidP="00134B3E">
            <w:pPr>
              <w:jc w:val="both"/>
              <w:rPr>
                <w:rFonts w:ascii="Times New Roman" w:hAnsi="Times New Roman" w:cs="Times New Roman"/>
                <w:sz w:val="20"/>
                <w:szCs w:val="20"/>
              </w:rPr>
            </w:pPr>
            <w:r w:rsidRPr="00C32A6B">
              <w:rPr>
                <w:rFonts w:ascii="Times New Roman" w:hAnsi="Times New Roman" w:cs="Times New Roman"/>
                <w:sz w:val="20"/>
                <w:szCs w:val="20"/>
              </w:rPr>
              <w:t>Referencyjna stopa procentowa wynosiła na koniec 2011 roku 4,5</w:t>
            </w:r>
            <w:r>
              <w:rPr>
                <w:rFonts w:ascii="Times New Roman" w:hAnsi="Times New Roman" w:cs="Times New Roman"/>
                <w:sz w:val="20"/>
                <w:szCs w:val="20"/>
              </w:rPr>
              <w:t>0</w:t>
            </w:r>
            <w:r w:rsidR="00134B3E">
              <w:rPr>
                <w:rFonts w:ascii="Times New Roman" w:hAnsi="Times New Roman" w:cs="Times New Roman"/>
                <w:sz w:val="20"/>
                <w:szCs w:val="20"/>
              </w:rPr>
              <w:t xml:space="preserve"> proc.</w:t>
            </w:r>
            <w:r w:rsidRPr="00C32A6B">
              <w:rPr>
                <w:rFonts w:ascii="Times New Roman" w:hAnsi="Times New Roman" w:cs="Times New Roman"/>
                <w:sz w:val="20"/>
                <w:szCs w:val="20"/>
              </w:rPr>
              <w:t xml:space="preserve">,  </w:t>
            </w:r>
            <w:r>
              <w:rPr>
                <w:rFonts w:ascii="Times New Roman" w:hAnsi="Times New Roman" w:cs="Times New Roman"/>
                <w:sz w:val="20"/>
                <w:szCs w:val="20"/>
              </w:rPr>
              <w:t xml:space="preserve">na koniec 2012 roku wynosiła </w:t>
            </w:r>
            <w:r w:rsidR="00134B3E">
              <w:rPr>
                <w:rFonts w:ascii="Times New Roman" w:hAnsi="Times New Roman" w:cs="Times New Roman"/>
                <w:sz w:val="20"/>
                <w:szCs w:val="20"/>
              </w:rPr>
              <w:t>4,25 proc.</w:t>
            </w:r>
            <w:r w:rsidRPr="0060031C">
              <w:rPr>
                <w:rFonts w:ascii="Times New Roman" w:hAnsi="Times New Roman" w:cs="Times New Roman"/>
                <w:sz w:val="20"/>
                <w:szCs w:val="20"/>
              </w:rPr>
              <w:t>,</w:t>
            </w:r>
            <w:r>
              <w:rPr>
                <w:rFonts w:ascii="Times New Roman" w:hAnsi="Times New Roman" w:cs="Times New Roman"/>
                <w:sz w:val="20"/>
                <w:szCs w:val="20"/>
              </w:rPr>
              <w:t xml:space="preserve"> a </w:t>
            </w:r>
            <w:r w:rsidRPr="00C32A6B">
              <w:rPr>
                <w:rFonts w:ascii="Times New Roman" w:hAnsi="Times New Roman" w:cs="Times New Roman"/>
                <w:sz w:val="20"/>
                <w:szCs w:val="20"/>
              </w:rPr>
              <w:t>w połowie roku 201</w:t>
            </w:r>
            <w:r>
              <w:rPr>
                <w:rFonts w:ascii="Times New Roman" w:hAnsi="Times New Roman" w:cs="Times New Roman"/>
                <w:sz w:val="20"/>
                <w:szCs w:val="20"/>
              </w:rPr>
              <w:t>3jest na rekordowo niskim poziomie i</w:t>
            </w:r>
            <w:r w:rsidRPr="00C32A6B">
              <w:rPr>
                <w:rFonts w:ascii="Times New Roman" w:hAnsi="Times New Roman" w:cs="Times New Roman"/>
                <w:sz w:val="20"/>
                <w:szCs w:val="20"/>
              </w:rPr>
              <w:t xml:space="preserve"> wynosi </w:t>
            </w:r>
            <w:r w:rsidR="00134B3E">
              <w:rPr>
                <w:rFonts w:ascii="Times New Roman" w:hAnsi="Times New Roman" w:cs="Times New Roman"/>
                <w:sz w:val="20"/>
                <w:szCs w:val="20"/>
              </w:rPr>
              <w:t>2,50 proc.</w:t>
            </w:r>
            <w:r w:rsidRPr="00C32A6B">
              <w:rPr>
                <w:rFonts w:ascii="Times New Roman" w:hAnsi="Times New Roman" w:cs="Times New Roman"/>
                <w:sz w:val="20"/>
                <w:szCs w:val="20"/>
              </w:rPr>
              <w:t xml:space="preserve">. </w:t>
            </w:r>
            <w:r>
              <w:rPr>
                <w:rFonts w:ascii="Times New Roman" w:hAnsi="Times New Roman" w:cs="Times New Roman"/>
                <w:sz w:val="20"/>
                <w:szCs w:val="20"/>
              </w:rPr>
              <w:t>Prawdopodobnie nastąpi okres braku zmian stóp. Niskie stopy powinny pobudzić gospodarkę do wzrostu, a przede wszystkim popyt konsumpcyjny.</w:t>
            </w:r>
          </w:p>
        </w:tc>
        <w:tc>
          <w:tcPr>
            <w:tcW w:w="1418"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stabilizacja</w:t>
            </w:r>
          </w:p>
        </w:tc>
        <w:tc>
          <w:tcPr>
            <w:tcW w:w="1134"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wzrost</w:t>
            </w:r>
          </w:p>
        </w:tc>
      </w:tr>
      <w:tr w:rsidR="00651111" w:rsidRPr="00C32A6B" w:rsidTr="00311275">
        <w:tc>
          <w:tcPr>
            <w:tcW w:w="2268"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Wydatki konsumentów</w:t>
            </w:r>
          </w:p>
        </w:tc>
        <w:tc>
          <w:tcPr>
            <w:tcW w:w="5103" w:type="dxa"/>
          </w:tcPr>
          <w:p w:rsidR="00651111" w:rsidRPr="00C32A6B" w:rsidRDefault="00651111" w:rsidP="00134B3E">
            <w:pPr>
              <w:jc w:val="both"/>
              <w:rPr>
                <w:rFonts w:ascii="Times New Roman" w:hAnsi="Times New Roman" w:cs="Times New Roman"/>
                <w:sz w:val="20"/>
                <w:szCs w:val="20"/>
              </w:rPr>
            </w:pPr>
            <w:r w:rsidRPr="00C32A6B">
              <w:rPr>
                <w:rFonts w:ascii="Times New Roman" w:hAnsi="Times New Roman" w:cs="Times New Roman"/>
                <w:sz w:val="20"/>
                <w:szCs w:val="20"/>
              </w:rPr>
              <w:t>Realne wydatki na</w:t>
            </w:r>
            <w:r w:rsidR="00134B3E">
              <w:rPr>
                <w:rFonts w:ascii="Times New Roman" w:hAnsi="Times New Roman" w:cs="Times New Roman"/>
                <w:sz w:val="20"/>
                <w:szCs w:val="20"/>
              </w:rPr>
              <w:t xml:space="preserve"> osobę w 2011 były o 1,8 proc.</w:t>
            </w:r>
            <w:r w:rsidRPr="00C32A6B">
              <w:rPr>
                <w:rFonts w:ascii="Times New Roman" w:hAnsi="Times New Roman" w:cs="Times New Roman"/>
                <w:sz w:val="20"/>
                <w:szCs w:val="20"/>
              </w:rPr>
              <w:t xml:space="preserve"> niższe niż w roku 2010.  </w:t>
            </w:r>
            <w:r w:rsidR="00134B3E">
              <w:rPr>
                <w:rFonts w:ascii="Times New Roman" w:hAnsi="Times New Roman" w:cs="Times New Roman"/>
                <w:sz w:val="20"/>
                <w:szCs w:val="20"/>
              </w:rPr>
              <w:t>Rok 2012 to dalszy spadek o 0,8 proc.</w:t>
            </w:r>
            <w:r>
              <w:rPr>
                <w:rFonts w:ascii="Times New Roman" w:hAnsi="Times New Roman" w:cs="Times New Roman"/>
                <w:sz w:val="20"/>
                <w:szCs w:val="20"/>
              </w:rPr>
              <w:t xml:space="preserve"> w stosunku do roku ubiegłego. </w:t>
            </w:r>
            <w:r w:rsidRPr="00C32A6B">
              <w:rPr>
                <w:rFonts w:ascii="Times New Roman" w:hAnsi="Times New Roman" w:cs="Times New Roman"/>
                <w:sz w:val="20"/>
                <w:szCs w:val="20"/>
              </w:rPr>
              <w:t xml:space="preserve">Hamujący popyt wewnętrzny </w:t>
            </w:r>
            <w:r>
              <w:rPr>
                <w:rFonts w:ascii="Times New Roman" w:hAnsi="Times New Roman" w:cs="Times New Roman"/>
                <w:sz w:val="20"/>
                <w:szCs w:val="20"/>
              </w:rPr>
              <w:t>dotyka również sektora wydawniczego.</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c>
          <w:tcPr>
            <w:tcW w:w="1134"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311275">
        <w:tc>
          <w:tcPr>
            <w:tcW w:w="2268"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Bezrobocie</w:t>
            </w:r>
          </w:p>
        </w:tc>
        <w:tc>
          <w:tcPr>
            <w:tcW w:w="5103" w:type="dxa"/>
          </w:tcPr>
          <w:p w:rsidR="00651111" w:rsidRPr="00C32A6B" w:rsidRDefault="00651111" w:rsidP="00134B3E">
            <w:pPr>
              <w:jc w:val="both"/>
              <w:rPr>
                <w:rFonts w:ascii="Times New Roman" w:hAnsi="Times New Roman" w:cs="Times New Roman"/>
                <w:sz w:val="20"/>
                <w:szCs w:val="20"/>
              </w:rPr>
            </w:pPr>
            <w:r w:rsidRPr="00C32A6B">
              <w:rPr>
                <w:rFonts w:ascii="Times New Roman" w:hAnsi="Times New Roman" w:cs="Times New Roman"/>
                <w:sz w:val="20"/>
                <w:szCs w:val="20"/>
              </w:rPr>
              <w:t xml:space="preserve">W 2009 roku </w:t>
            </w:r>
            <w:r>
              <w:rPr>
                <w:rFonts w:ascii="Times New Roman" w:hAnsi="Times New Roman" w:cs="Times New Roman"/>
                <w:sz w:val="20"/>
                <w:szCs w:val="20"/>
              </w:rPr>
              <w:t xml:space="preserve">bezrobocie </w:t>
            </w:r>
            <w:r w:rsidR="00134B3E">
              <w:rPr>
                <w:rFonts w:ascii="Times New Roman" w:hAnsi="Times New Roman" w:cs="Times New Roman"/>
                <w:sz w:val="20"/>
                <w:szCs w:val="20"/>
              </w:rPr>
              <w:t>wyniosło 12,1 proc.</w:t>
            </w:r>
            <w:r w:rsidRPr="00C32A6B">
              <w:rPr>
                <w:rFonts w:ascii="Times New Roman" w:hAnsi="Times New Roman" w:cs="Times New Roman"/>
                <w:sz w:val="20"/>
                <w:szCs w:val="20"/>
              </w:rPr>
              <w:t>, w 2010 –</w:t>
            </w:r>
            <w:r w:rsidR="00134B3E">
              <w:rPr>
                <w:rFonts w:ascii="Times New Roman" w:hAnsi="Times New Roman" w:cs="Times New Roman"/>
                <w:sz w:val="20"/>
                <w:szCs w:val="20"/>
              </w:rPr>
              <w:t xml:space="preserve"> 12,4 proc., w 2011 – 12,5 proc.</w:t>
            </w:r>
            <w:r w:rsidRPr="00C32A6B">
              <w:rPr>
                <w:rFonts w:ascii="Times New Roman" w:hAnsi="Times New Roman" w:cs="Times New Roman"/>
                <w:sz w:val="20"/>
                <w:szCs w:val="20"/>
              </w:rPr>
              <w:t xml:space="preserve">, </w:t>
            </w:r>
            <w:r w:rsidR="00134B3E">
              <w:rPr>
                <w:rFonts w:ascii="Times New Roman" w:hAnsi="Times New Roman" w:cs="Times New Roman"/>
                <w:sz w:val="20"/>
                <w:szCs w:val="20"/>
              </w:rPr>
              <w:t>w 2012 – 13,4 proc.</w:t>
            </w:r>
            <w:r>
              <w:rPr>
                <w:rFonts w:ascii="Times New Roman" w:hAnsi="Times New Roman" w:cs="Times New Roman"/>
                <w:sz w:val="20"/>
                <w:szCs w:val="20"/>
              </w:rPr>
              <w:t xml:space="preserve">, </w:t>
            </w:r>
            <w:r w:rsidRPr="00C32A6B">
              <w:rPr>
                <w:rFonts w:ascii="Times New Roman" w:hAnsi="Times New Roman" w:cs="Times New Roman"/>
                <w:sz w:val="20"/>
                <w:szCs w:val="20"/>
              </w:rPr>
              <w:t>w połowie 201</w:t>
            </w:r>
            <w:r>
              <w:rPr>
                <w:rFonts w:ascii="Times New Roman" w:hAnsi="Times New Roman" w:cs="Times New Roman"/>
                <w:sz w:val="20"/>
                <w:szCs w:val="20"/>
              </w:rPr>
              <w:t>3</w:t>
            </w:r>
            <w:r w:rsidRPr="00C32A6B">
              <w:rPr>
                <w:rFonts w:ascii="Times New Roman" w:hAnsi="Times New Roman" w:cs="Times New Roman"/>
                <w:sz w:val="20"/>
                <w:szCs w:val="20"/>
              </w:rPr>
              <w:t xml:space="preserve"> – </w:t>
            </w:r>
            <w:r>
              <w:rPr>
                <w:rFonts w:ascii="Times New Roman" w:hAnsi="Times New Roman" w:cs="Times New Roman"/>
                <w:sz w:val="20"/>
                <w:szCs w:val="20"/>
              </w:rPr>
              <w:t>13,2</w:t>
            </w:r>
            <w:r w:rsidR="00134B3E">
              <w:rPr>
                <w:rFonts w:ascii="Times New Roman" w:hAnsi="Times New Roman" w:cs="Times New Roman"/>
                <w:sz w:val="20"/>
                <w:szCs w:val="20"/>
              </w:rPr>
              <w:t xml:space="preserve"> proc</w:t>
            </w:r>
            <w:r w:rsidRPr="00C32A6B">
              <w:rPr>
                <w:rFonts w:ascii="Times New Roman" w:hAnsi="Times New Roman" w:cs="Times New Roman"/>
                <w:sz w:val="20"/>
                <w:szCs w:val="20"/>
              </w:rPr>
              <w:t xml:space="preserve">. </w:t>
            </w:r>
            <w:r>
              <w:rPr>
                <w:rFonts w:ascii="Times New Roman" w:hAnsi="Times New Roman" w:cs="Times New Roman"/>
                <w:sz w:val="20"/>
                <w:szCs w:val="20"/>
              </w:rPr>
              <w:t xml:space="preserve">Wzrost bezrobocia jest czynnikiem, który z jednej strony jest pochodną sytuacji gospodarczej, a z drugiej strony wpływa negatywnie na tę sytuację.  </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c>
          <w:tcPr>
            <w:tcW w:w="1134"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311275">
        <w:tc>
          <w:tcPr>
            <w:tcW w:w="2268"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System podatkowy</w:t>
            </w:r>
          </w:p>
        </w:tc>
        <w:tc>
          <w:tcPr>
            <w:tcW w:w="5103" w:type="dxa"/>
          </w:tcPr>
          <w:p w:rsidR="00651111" w:rsidRPr="00C32A6B" w:rsidRDefault="00651111" w:rsidP="00134B3E">
            <w:pPr>
              <w:jc w:val="both"/>
              <w:rPr>
                <w:rFonts w:ascii="Times New Roman" w:hAnsi="Times New Roman" w:cs="Times New Roman"/>
                <w:sz w:val="20"/>
                <w:szCs w:val="20"/>
              </w:rPr>
            </w:pPr>
            <w:r w:rsidRPr="00C32A6B">
              <w:rPr>
                <w:rFonts w:ascii="Times New Roman" w:hAnsi="Times New Roman" w:cs="Times New Roman"/>
                <w:sz w:val="20"/>
                <w:szCs w:val="20"/>
              </w:rPr>
              <w:t>CIT –</w:t>
            </w:r>
            <w:r w:rsidR="00134B3E">
              <w:rPr>
                <w:rFonts w:ascii="Times New Roman" w:hAnsi="Times New Roman" w:cs="Times New Roman"/>
                <w:sz w:val="20"/>
                <w:szCs w:val="20"/>
              </w:rPr>
              <w:t xml:space="preserve"> 19 proc., PIT – 18 i 32 proc., VAT – 23 proc. i 5 proc. </w:t>
            </w:r>
            <w:r w:rsidRPr="00C32A6B">
              <w:rPr>
                <w:rFonts w:ascii="Times New Roman" w:hAnsi="Times New Roman" w:cs="Times New Roman"/>
                <w:sz w:val="20"/>
                <w:szCs w:val="20"/>
              </w:rPr>
              <w:t xml:space="preserve">na książki. </w:t>
            </w:r>
            <w:r>
              <w:rPr>
                <w:rFonts w:ascii="Times New Roman" w:hAnsi="Times New Roman" w:cs="Times New Roman"/>
                <w:sz w:val="20"/>
                <w:szCs w:val="20"/>
              </w:rPr>
              <w:t xml:space="preserve">Według informacji rządowych stawki nie ulegną zmianie, </w:t>
            </w:r>
            <w:r w:rsidR="00134B3E">
              <w:rPr>
                <w:rFonts w:ascii="Times New Roman" w:hAnsi="Times New Roman" w:cs="Times New Roman"/>
                <w:sz w:val="20"/>
                <w:szCs w:val="20"/>
              </w:rPr>
              <w:t>chociaż VAT miał powrócić do 22 proc</w:t>
            </w:r>
            <w:r>
              <w:rPr>
                <w:rFonts w:ascii="Times New Roman" w:hAnsi="Times New Roman" w:cs="Times New Roman"/>
                <w:sz w:val="20"/>
                <w:szCs w:val="20"/>
              </w:rPr>
              <w:t>.</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c>
          <w:tcPr>
            <w:tcW w:w="1134"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r>
      <w:tr w:rsidR="00651111" w:rsidRPr="00C32A6B" w:rsidTr="00311275">
        <w:tc>
          <w:tcPr>
            <w:tcW w:w="2268"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Fluktuacja waluty</w:t>
            </w:r>
          </w:p>
        </w:tc>
        <w:tc>
          <w:tcPr>
            <w:tcW w:w="5103" w:type="dxa"/>
          </w:tcPr>
          <w:p w:rsidR="00651111" w:rsidRPr="00C32A6B" w:rsidRDefault="00651111" w:rsidP="00134B3E">
            <w:pPr>
              <w:jc w:val="both"/>
              <w:rPr>
                <w:rFonts w:ascii="Times New Roman" w:hAnsi="Times New Roman" w:cs="Times New Roman"/>
                <w:sz w:val="20"/>
                <w:szCs w:val="20"/>
              </w:rPr>
            </w:pPr>
            <w:r w:rsidRPr="00C32A6B">
              <w:rPr>
                <w:rFonts w:ascii="Times New Roman" w:hAnsi="Times New Roman" w:cs="Times New Roman"/>
                <w:sz w:val="20"/>
                <w:szCs w:val="20"/>
              </w:rPr>
              <w:t xml:space="preserve">Kurs zł/euro 31.12.2010 – 3,9603, 30.12.2011 – 4,4168, </w:t>
            </w:r>
            <w:r>
              <w:rPr>
                <w:rFonts w:ascii="Times New Roman" w:hAnsi="Times New Roman" w:cs="Times New Roman"/>
                <w:sz w:val="20"/>
                <w:szCs w:val="20"/>
              </w:rPr>
              <w:t>31.12.2012</w:t>
            </w:r>
            <w:r w:rsidRPr="00C32A6B">
              <w:rPr>
                <w:rFonts w:ascii="Times New Roman" w:hAnsi="Times New Roman" w:cs="Times New Roman"/>
                <w:sz w:val="20"/>
                <w:szCs w:val="20"/>
              </w:rPr>
              <w:t xml:space="preserve">  –  4,</w:t>
            </w:r>
            <w:r>
              <w:rPr>
                <w:rFonts w:ascii="Times New Roman" w:hAnsi="Times New Roman" w:cs="Times New Roman"/>
                <w:sz w:val="20"/>
                <w:szCs w:val="20"/>
              </w:rPr>
              <w:t>0882, 28.06.2013– 4,3292</w:t>
            </w:r>
            <w:r w:rsidRPr="00C32A6B">
              <w:rPr>
                <w:rFonts w:ascii="Times New Roman" w:hAnsi="Times New Roman" w:cs="Times New Roman"/>
                <w:sz w:val="20"/>
                <w:szCs w:val="20"/>
              </w:rPr>
              <w:t xml:space="preserve">. </w:t>
            </w:r>
            <w:r>
              <w:rPr>
                <w:rFonts w:ascii="Times New Roman" w:hAnsi="Times New Roman" w:cs="Times New Roman"/>
                <w:sz w:val="20"/>
                <w:szCs w:val="20"/>
              </w:rPr>
              <w:t>Niewielka fluktuacja ma dobry</w:t>
            </w:r>
            <w:r w:rsidRPr="00C32A6B">
              <w:rPr>
                <w:rFonts w:ascii="Times New Roman" w:hAnsi="Times New Roman" w:cs="Times New Roman"/>
                <w:sz w:val="20"/>
                <w:szCs w:val="20"/>
              </w:rPr>
              <w:t xml:space="preserve"> wpływ na stabilizację </w:t>
            </w:r>
            <w:r>
              <w:rPr>
                <w:rFonts w:ascii="Times New Roman" w:hAnsi="Times New Roman" w:cs="Times New Roman"/>
                <w:sz w:val="20"/>
                <w:szCs w:val="20"/>
              </w:rPr>
              <w:t>kosztów działalności firm.</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c>
          <w:tcPr>
            <w:tcW w:w="1134"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regres</w:t>
            </w:r>
          </w:p>
        </w:tc>
      </w:tr>
    </w:tbl>
    <w:p w:rsidR="00DD4395" w:rsidRPr="00D123AA" w:rsidRDefault="00DD4395" w:rsidP="009802A2">
      <w:pPr>
        <w:spacing w:after="0" w:line="240" w:lineRule="auto"/>
        <w:rPr>
          <w:rFonts w:ascii="Times New Roman" w:hAnsi="Times New Roman" w:cs="Times New Roman"/>
          <w:b/>
          <w:bCs/>
          <w:sz w:val="24"/>
          <w:szCs w:val="24"/>
        </w:rPr>
      </w:pPr>
    </w:p>
    <w:p w:rsidR="00DD4395" w:rsidRDefault="00DD4395" w:rsidP="009802A2">
      <w:pPr>
        <w:spacing w:after="0" w:line="240" w:lineRule="auto"/>
        <w:rPr>
          <w:rFonts w:ascii="Times New Roman" w:hAnsi="Times New Roman" w:cs="Times New Roman"/>
          <w:b/>
          <w:bCs/>
          <w:sz w:val="24"/>
          <w:szCs w:val="24"/>
        </w:rPr>
      </w:pPr>
      <w:r w:rsidRPr="00D123AA">
        <w:rPr>
          <w:rFonts w:ascii="Times New Roman" w:hAnsi="Times New Roman" w:cs="Times New Roman"/>
          <w:b/>
          <w:bCs/>
          <w:sz w:val="24"/>
          <w:szCs w:val="24"/>
        </w:rPr>
        <w:t>Sfera Społeczno-Kulturowa</w:t>
      </w:r>
    </w:p>
    <w:p w:rsidR="00567F66" w:rsidRPr="00D123AA" w:rsidRDefault="00567F66" w:rsidP="009802A2">
      <w:pPr>
        <w:spacing w:after="0" w:line="240" w:lineRule="auto"/>
        <w:rPr>
          <w:rFonts w:ascii="Times New Roman" w:hAnsi="Times New Roman" w:cs="Times New Roman"/>
          <w:b/>
          <w:bCs/>
          <w:sz w:val="24"/>
          <w:szCs w:val="24"/>
        </w:rPr>
      </w:pPr>
    </w:p>
    <w:tbl>
      <w:tblPr>
        <w:tblStyle w:val="Tabela-Siatka"/>
        <w:tblW w:w="10298" w:type="dxa"/>
        <w:tblLayout w:type="fixed"/>
        <w:tblLook w:val="04A0" w:firstRow="1" w:lastRow="0" w:firstColumn="1" w:lastColumn="0" w:noHBand="0" w:noVBand="1"/>
      </w:tblPr>
      <w:tblGrid>
        <w:gridCol w:w="2235"/>
        <w:gridCol w:w="5670"/>
        <w:gridCol w:w="1134"/>
        <w:gridCol w:w="1259"/>
      </w:tblGrid>
      <w:tr w:rsidR="00651111" w:rsidRPr="00C32A6B" w:rsidTr="00515262">
        <w:trPr>
          <w:trHeight w:val="278"/>
        </w:trPr>
        <w:tc>
          <w:tcPr>
            <w:tcW w:w="2235" w:type="dxa"/>
            <w:vMerge w:val="restart"/>
          </w:tcPr>
          <w:p w:rsidR="00651111" w:rsidRPr="00C32A6B" w:rsidRDefault="00651111" w:rsidP="00E348C3">
            <w:pPr>
              <w:ind w:right="302"/>
              <w:jc w:val="center"/>
              <w:rPr>
                <w:rFonts w:ascii="Times New Roman" w:hAnsi="Times New Roman" w:cs="Times New Roman"/>
                <w:b/>
                <w:sz w:val="24"/>
                <w:szCs w:val="24"/>
              </w:rPr>
            </w:pPr>
            <w:r w:rsidRPr="00C32A6B">
              <w:rPr>
                <w:rFonts w:ascii="Times New Roman" w:hAnsi="Times New Roman" w:cs="Times New Roman"/>
                <w:b/>
                <w:sz w:val="24"/>
                <w:szCs w:val="24"/>
              </w:rPr>
              <w:t>Czynniki makrootoczenia</w:t>
            </w:r>
          </w:p>
        </w:tc>
        <w:tc>
          <w:tcPr>
            <w:tcW w:w="5670" w:type="dxa"/>
            <w:vMerge w:val="restart"/>
            <w:vAlign w:val="center"/>
          </w:tcPr>
          <w:p w:rsidR="00651111" w:rsidRPr="00C32A6B" w:rsidRDefault="00651111" w:rsidP="00E348C3">
            <w:pPr>
              <w:jc w:val="center"/>
              <w:rPr>
                <w:rFonts w:ascii="Times New Roman" w:hAnsi="Times New Roman" w:cs="Times New Roman"/>
                <w:b/>
                <w:sz w:val="24"/>
                <w:szCs w:val="24"/>
              </w:rPr>
            </w:pPr>
            <w:r w:rsidRPr="00C32A6B">
              <w:rPr>
                <w:rFonts w:ascii="Times New Roman" w:hAnsi="Times New Roman" w:cs="Times New Roman"/>
                <w:b/>
                <w:sz w:val="24"/>
                <w:szCs w:val="24"/>
              </w:rPr>
              <w:t>Komentarz</w:t>
            </w:r>
          </w:p>
        </w:tc>
        <w:tc>
          <w:tcPr>
            <w:tcW w:w="2393" w:type="dxa"/>
            <w:gridSpan w:val="2"/>
          </w:tcPr>
          <w:p w:rsidR="00651111" w:rsidRPr="00C32A6B" w:rsidRDefault="00651111" w:rsidP="00E348C3">
            <w:pPr>
              <w:ind w:left="-108"/>
              <w:jc w:val="center"/>
              <w:rPr>
                <w:rFonts w:ascii="Times New Roman" w:hAnsi="Times New Roman" w:cs="Times New Roman"/>
                <w:b/>
                <w:sz w:val="24"/>
                <w:szCs w:val="24"/>
              </w:rPr>
            </w:pPr>
            <w:r w:rsidRPr="00C32A6B">
              <w:rPr>
                <w:rFonts w:ascii="Times New Roman" w:hAnsi="Times New Roman" w:cs="Times New Roman"/>
                <w:b/>
                <w:sz w:val="24"/>
                <w:szCs w:val="24"/>
              </w:rPr>
              <w:t>Kierunek siły wpływu</w:t>
            </w:r>
          </w:p>
        </w:tc>
      </w:tr>
      <w:tr w:rsidR="00651111" w:rsidRPr="00C32A6B" w:rsidTr="00515262">
        <w:trPr>
          <w:trHeight w:val="277"/>
        </w:trPr>
        <w:tc>
          <w:tcPr>
            <w:tcW w:w="2235" w:type="dxa"/>
            <w:vMerge/>
          </w:tcPr>
          <w:p w:rsidR="00651111" w:rsidRPr="00C32A6B" w:rsidRDefault="00651111" w:rsidP="00E348C3">
            <w:pPr>
              <w:ind w:right="302"/>
              <w:jc w:val="center"/>
              <w:rPr>
                <w:rFonts w:ascii="Times New Roman" w:hAnsi="Times New Roman" w:cs="Times New Roman"/>
                <w:b/>
                <w:sz w:val="24"/>
                <w:szCs w:val="24"/>
              </w:rPr>
            </w:pPr>
          </w:p>
        </w:tc>
        <w:tc>
          <w:tcPr>
            <w:tcW w:w="5670" w:type="dxa"/>
            <w:vMerge/>
            <w:vAlign w:val="center"/>
          </w:tcPr>
          <w:p w:rsidR="00651111" w:rsidRPr="00C32A6B" w:rsidRDefault="00651111" w:rsidP="00E348C3">
            <w:pPr>
              <w:jc w:val="center"/>
              <w:rPr>
                <w:rFonts w:ascii="Times New Roman" w:hAnsi="Times New Roman" w:cs="Times New Roman"/>
                <w:b/>
                <w:sz w:val="24"/>
                <w:szCs w:val="24"/>
              </w:rPr>
            </w:pPr>
          </w:p>
        </w:tc>
        <w:tc>
          <w:tcPr>
            <w:tcW w:w="1134" w:type="dxa"/>
          </w:tcPr>
          <w:p w:rsidR="00651111" w:rsidRPr="00C32A6B" w:rsidRDefault="00651111" w:rsidP="00E348C3">
            <w:pPr>
              <w:ind w:left="-108"/>
              <w:jc w:val="center"/>
              <w:rPr>
                <w:rFonts w:ascii="Times New Roman" w:hAnsi="Times New Roman" w:cs="Times New Roman"/>
                <w:sz w:val="24"/>
                <w:szCs w:val="24"/>
              </w:rPr>
            </w:pPr>
            <w:r w:rsidRPr="00C32A6B">
              <w:rPr>
                <w:rFonts w:ascii="Times New Roman" w:hAnsi="Times New Roman" w:cs="Times New Roman"/>
                <w:sz w:val="24"/>
                <w:szCs w:val="24"/>
              </w:rPr>
              <w:t>obecnie</w:t>
            </w:r>
          </w:p>
        </w:tc>
        <w:tc>
          <w:tcPr>
            <w:tcW w:w="1259" w:type="dxa"/>
          </w:tcPr>
          <w:p w:rsidR="00651111" w:rsidRPr="00C32A6B" w:rsidRDefault="00651111" w:rsidP="00E348C3">
            <w:pPr>
              <w:ind w:left="-108"/>
              <w:jc w:val="center"/>
              <w:rPr>
                <w:rFonts w:ascii="Times New Roman" w:hAnsi="Times New Roman" w:cs="Times New Roman"/>
                <w:sz w:val="24"/>
                <w:szCs w:val="24"/>
              </w:rPr>
            </w:pPr>
            <w:r w:rsidRPr="00C32A6B">
              <w:rPr>
                <w:rFonts w:ascii="Times New Roman" w:hAnsi="Times New Roman" w:cs="Times New Roman"/>
                <w:sz w:val="24"/>
                <w:szCs w:val="24"/>
              </w:rPr>
              <w:t>przyszłość</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Komunikacja społeczna</w:t>
            </w:r>
          </w:p>
        </w:tc>
        <w:tc>
          <w:tcPr>
            <w:tcW w:w="5670" w:type="dxa"/>
            <w:vAlign w:val="center"/>
          </w:tcPr>
          <w:p w:rsidR="00651111" w:rsidRPr="00C32A6B" w:rsidRDefault="00651111" w:rsidP="00134B3E">
            <w:pPr>
              <w:jc w:val="both"/>
              <w:rPr>
                <w:rFonts w:ascii="Times New Roman" w:hAnsi="Times New Roman" w:cs="Times New Roman"/>
                <w:sz w:val="20"/>
                <w:szCs w:val="20"/>
              </w:rPr>
            </w:pPr>
            <w:r w:rsidRPr="00C32A6B">
              <w:rPr>
                <w:rFonts w:ascii="Times New Roman" w:hAnsi="Times New Roman" w:cs="Times New Roman"/>
                <w:sz w:val="20"/>
                <w:szCs w:val="20"/>
              </w:rPr>
              <w:t>Komunikacja społeczna odbywa się przede wszystkim przez media elektroniczne. Internet w gosp</w:t>
            </w:r>
            <w:r w:rsidR="00134B3E">
              <w:rPr>
                <w:rFonts w:ascii="Times New Roman" w:hAnsi="Times New Roman" w:cs="Times New Roman"/>
                <w:sz w:val="20"/>
                <w:szCs w:val="20"/>
              </w:rPr>
              <w:t>odarstwach domowych: 2008 – 47 proc., 2009 – 58,6 proc., 2010 – 63,4 proc., 2011 – 66,6 proc., 2012 – 70,5 proc</w:t>
            </w:r>
            <w:r>
              <w:rPr>
                <w:rFonts w:ascii="Times New Roman" w:hAnsi="Times New Roman" w:cs="Times New Roman"/>
                <w:sz w:val="20"/>
                <w:szCs w:val="20"/>
              </w:rPr>
              <w:t>. W grupie młodzieży i młodych ludzi dużą rolę odgrywają portale społecznościowe</w:t>
            </w:r>
            <w:r w:rsidR="00134B3E">
              <w:rPr>
                <w:rFonts w:ascii="Times New Roman" w:hAnsi="Times New Roman" w:cs="Times New Roman"/>
                <w:sz w:val="20"/>
                <w:szCs w:val="20"/>
              </w:rPr>
              <w:t xml:space="preserve"> jak F</w:t>
            </w:r>
            <w:r>
              <w:rPr>
                <w:rFonts w:ascii="Times New Roman" w:hAnsi="Times New Roman" w:cs="Times New Roman"/>
                <w:sz w:val="20"/>
                <w:szCs w:val="20"/>
              </w:rPr>
              <w:t>acebook.  Firmy również wykorzystują portale w swojej działalności marketingowej.</w:t>
            </w:r>
          </w:p>
        </w:tc>
        <w:tc>
          <w:tcPr>
            <w:tcW w:w="1134"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c>
          <w:tcPr>
            <w:tcW w:w="1259"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515262">
        <w:trPr>
          <w:trHeight w:val="1164"/>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lastRenderedPageBreak/>
              <w:t>Struktury demograficzne</w:t>
            </w:r>
          </w:p>
          <w:p w:rsidR="00651111" w:rsidRPr="00C32A6B" w:rsidRDefault="00651111" w:rsidP="00E348C3">
            <w:pPr>
              <w:rPr>
                <w:rFonts w:ascii="Times New Roman" w:hAnsi="Times New Roman" w:cs="Times New Roman"/>
                <w:sz w:val="20"/>
                <w:szCs w:val="20"/>
              </w:rPr>
            </w:pPr>
          </w:p>
        </w:tc>
        <w:tc>
          <w:tcPr>
            <w:tcW w:w="5670" w:type="dxa"/>
            <w:vAlign w:val="center"/>
          </w:tcPr>
          <w:p w:rsidR="00651111" w:rsidRPr="00C32A6B" w:rsidRDefault="00651111" w:rsidP="00567F66">
            <w:pPr>
              <w:jc w:val="both"/>
              <w:rPr>
                <w:rFonts w:ascii="Times New Roman" w:hAnsi="Times New Roman" w:cs="Times New Roman"/>
                <w:sz w:val="20"/>
                <w:szCs w:val="20"/>
              </w:rPr>
            </w:pPr>
            <w:r>
              <w:rPr>
                <w:rFonts w:ascii="Times New Roman" w:hAnsi="Times New Roman" w:cs="Times New Roman"/>
                <w:sz w:val="20"/>
                <w:szCs w:val="20"/>
              </w:rPr>
              <w:t>Dzieci i młodzież  w wieku przedprodukcyjnym</w:t>
            </w:r>
            <w:r w:rsidR="00567F66">
              <w:rPr>
                <w:rFonts w:ascii="Times New Roman" w:hAnsi="Times New Roman" w:cs="Times New Roman"/>
                <w:sz w:val="20"/>
                <w:szCs w:val="20"/>
              </w:rPr>
              <w:t xml:space="preserve"> w 2005 roku –20,6 proc.</w:t>
            </w:r>
            <w:r w:rsidRPr="00C32A6B">
              <w:rPr>
                <w:rFonts w:ascii="Times New Roman" w:hAnsi="Times New Roman" w:cs="Times New Roman"/>
                <w:sz w:val="20"/>
                <w:szCs w:val="20"/>
              </w:rPr>
              <w:t>, w 2010 ro</w:t>
            </w:r>
            <w:r w:rsidR="00567F66">
              <w:rPr>
                <w:rFonts w:ascii="Times New Roman" w:hAnsi="Times New Roman" w:cs="Times New Roman"/>
                <w:sz w:val="20"/>
                <w:szCs w:val="20"/>
              </w:rPr>
              <w:t>ku – 18,8 proc., w 2011 roku – 18,5 proc., w roku 2012 – 18,3 proc</w:t>
            </w:r>
            <w:r>
              <w:rPr>
                <w:rFonts w:ascii="Times New Roman" w:hAnsi="Times New Roman" w:cs="Times New Roman"/>
                <w:sz w:val="20"/>
                <w:szCs w:val="20"/>
              </w:rPr>
              <w:t xml:space="preserve">. Spadek tej grupy zagraża w przyszłości wielu dziedzinom życia w Polsce. </w:t>
            </w:r>
          </w:p>
        </w:tc>
        <w:tc>
          <w:tcPr>
            <w:tcW w:w="1134"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stabilizacja</w:t>
            </w:r>
          </w:p>
        </w:tc>
        <w:tc>
          <w:tcPr>
            <w:tcW w:w="1259"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Struktura zatrudnienia</w:t>
            </w:r>
          </w:p>
        </w:tc>
        <w:tc>
          <w:tcPr>
            <w:tcW w:w="5670" w:type="dxa"/>
            <w:vAlign w:val="center"/>
          </w:tcPr>
          <w:p w:rsidR="00651111" w:rsidRPr="00BD1F04" w:rsidRDefault="00567F66" w:rsidP="003F61DD">
            <w:pPr>
              <w:spacing w:after="0"/>
              <w:jc w:val="both"/>
              <w:rPr>
                <w:rFonts w:ascii="Times New Roman" w:hAnsi="Times New Roman" w:cs="Times New Roman"/>
                <w:sz w:val="20"/>
                <w:szCs w:val="20"/>
              </w:rPr>
            </w:pPr>
            <w:r>
              <w:rPr>
                <w:rFonts w:ascii="Times New Roman" w:hAnsi="Times New Roman" w:cs="Times New Roman"/>
                <w:sz w:val="20"/>
                <w:szCs w:val="20"/>
              </w:rPr>
              <w:t>Pracujący  w 2005 roku – 64 proc., w 2010 roku – 64,4 proc., w 2011 roku – 64,2 proc., w 2012 roku – 63,9 proc</w:t>
            </w:r>
            <w:r w:rsidR="00651111">
              <w:rPr>
                <w:rFonts w:ascii="Times New Roman" w:hAnsi="Times New Roman" w:cs="Times New Roman"/>
                <w:sz w:val="20"/>
                <w:szCs w:val="20"/>
              </w:rPr>
              <w:t>.</w:t>
            </w:r>
          </w:p>
          <w:p w:rsidR="00515262" w:rsidRDefault="00651111" w:rsidP="003F61DD">
            <w:pPr>
              <w:spacing w:after="0"/>
              <w:jc w:val="both"/>
              <w:rPr>
                <w:rFonts w:ascii="Times New Roman" w:hAnsi="Times New Roman" w:cs="Times New Roman"/>
                <w:sz w:val="20"/>
                <w:szCs w:val="20"/>
              </w:rPr>
            </w:pPr>
            <w:r>
              <w:rPr>
                <w:rFonts w:ascii="Times New Roman" w:hAnsi="Times New Roman" w:cs="Times New Roman"/>
                <w:sz w:val="20"/>
                <w:szCs w:val="20"/>
              </w:rPr>
              <w:t xml:space="preserve">Ludzie w wieku poprodukcyjnym stanowili </w:t>
            </w:r>
            <w:r w:rsidRPr="00BD1F04">
              <w:rPr>
                <w:rFonts w:ascii="Times New Roman" w:hAnsi="Times New Roman" w:cs="Times New Roman"/>
                <w:sz w:val="20"/>
                <w:szCs w:val="20"/>
              </w:rPr>
              <w:t xml:space="preserve"> w 2</w:t>
            </w:r>
            <w:r w:rsidR="00567F66">
              <w:rPr>
                <w:rFonts w:ascii="Times New Roman" w:hAnsi="Times New Roman" w:cs="Times New Roman"/>
                <w:sz w:val="20"/>
                <w:szCs w:val="20"/>
              </w:rPr>
              <w:t>005 roku – 15,4 proc.</w:t>
            </w:r>
            <w:r w:rsidRPr="00BD1F04">
              <w:rPr>
                <w:rFonts w:ascii="Times New Roman" w:hAnsi="Times New Roman" w:cs="Times New Roman"/>
                <w:sz w:val="20"/>
                <w:szCs w:val="20"/>
              </w:rPr>
              <w:t>, w 2010 roku – 16,</w:t>
            </w:r>
            <w:r>
              <w:rPr>
                <w:rFonts w:ascii="Times New Roman" w:hAnsi="Times New Roman" w:cs="Times New Roman"/>
                <w:sz w:val="20"/>
                <w:szCs w:val="20"/>
              </w:rPr>
              <w:t>8</w:t>
            </w:r>
            <w:r w:rsidR="00567F66">
              <w:rPr>
                <w:rFonts w:ascii="Times New Roman" w:hAnsi="Times New Roman" w:cs="Times New Roman"/>
                <w:sz w:val="20"/>
                <w:szCs w:val="20"/>
              </w:rPr>
              <w:t xml:space="preserve"> proc.</w:t>
            </w:r>
            <w:r w:rsidRPr="00BD1F04">
              <w:rPr>
                <w:rFonts w:ascii="Times New Roman" w:hAnsi="Times New Roman" w:cs="Times New Roman"/>
                <w:sz w:val="20"/>
                <w:szCs w:val="20"/>
              </w:rPr>
              <w:t>, w 2011 roku – 17,</w:t>
            </w:r>
            <w:r w:rsidR="00567F66">
              <w:rPr>
                <w:rFonts w:ascii="Times New Roman" w:hAnsi="Times New Roman" w:cs="Times New Roman"/>
                <w:sz w:val="20"/>
                <w:szCs w:val="20"/>
              </w:rPr>
              <w:t>3 proc., a w 2012 roku – 17,8 proc</w:t>
            </w:r>
            <w:r>
              <w:rPr>
                <w:rFonts w:ascii="Times New Roman" w:hAnsi="Times New Roman" w:cs="Times New Roman"/>
                <w:sz w:val="20"/>
                <w:szCs w:val="20"/>
              </w:rPr>
              <w:t>.</w:t>
            </w:r>
          </w:p>
          <w:p w:rsidR="00651111" w:rsidRPr="00C32A6B" w:rsidRDefault="00651111" w:rsidP="00515262">
            <w:pPr>
              <w:jc w:val="both"/>
              <w:rPr>
                <w:rFonts w:ascii="Times New Roman" w:hAnsi="Times New Roman" w:cs="Times New Roman"/>
                <w:sz w:val="20"/>
                <w:szCs w:val="20"/>
              </w:rPr>
            </w:pPr>
            <w:r w:rsidRPr="00C017C8">
              <w:rPr>
                <w:rFonts w:ascii="Times New Roman" w:hAnsi="Times New Roman" w:cs="Times New Roman"/>
                <w:sz w:val="20"/>
                <w:szCs w:val="20"/>
              </w:rPr>
              <w:t xml:space="preserve">Reforma emerytalna wydłużająca czas przechodzenia na emeryturę </w:t>
            </w:r>
            <w:r>
              <w:rPr>
                <w:rFonts w:ascii="Times New Roman" w:hAnsi="Times New Roman" w:cs="Times New Roman"/>
                <w:sz w:val="20"/>
                <w:szCs w:val="20"/>
              </w:rPr>
              <w:t>będzie miała wpływ na gospodarkę dopiero za parę lat, ale obecnie wzbudza niepokój polityczny i społeczny</w:t>
            </w:r>
            <w:r w:rsidR="00567F66">
              <w:rPr>
                <w:rFonts w:ascii="Times New Roman" w:hAnsi="Times New Roman" w:cs="Times New Roman"/>
                <w:sz w:val="20"/>
                <w:szCs w:val="20"/>
              </w:rPr>
              <w:t>.</w:t>
            </w:r>
          </w:p>
        </w:tc>
        <w:tc>
          <w:tcPr>
            <w:tcW w:w="1134" w:type="dxa"/>
            <w:vAlign w:val="center"/>
          </w:tcPr>
          <w:p w:rsidR="00651111" w:rsidRPr="00C32A6B" w:rsidRDefault="00651111" w:rsidP="00E348C3">
            <w:pPr>
              <w:jc w:val="center"/>
              <w:rPr>
                <w:rFonts w:ascii="Times New Roman" w:hAnsi="Times New Roman" w:cs="Times New Roman"/>
                <w:sz w:val="20"/>
                <w:szCs w:val="20"/>
              </w:rPr>
            </w:pPr>
            <w:bookmarkStart w:id="1" w:name="OLE_LINK3"/>
            <w:r>
              <w:rPr>
                <w:rFonts w:ascii="Times New Roman" w:hAnsi="Times New Roman" w:cs="Times New Roman"/>
                <w:sz w:val="20"/>
                <w:szCs w:val="20"/>
              </w:rPr>
              <w:t>stabilizacja</w:t>
            </w:r>
            <w:bookmarkEnd w:id="1"/>
          </w:p>
        </w:tc>
        <w:tc>
          <w:tcPr>
            <w:tcW w:w="1259"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Pr>
                <w:rFonts w:ascii="Times New Roman" w:hAnsi="Times New Roman" w:cs="Times New Roman"/>
                <w:sz w:val="20"/>
                <w:szCs w:val="20"/>
              </w:rPr>
              <w:t>Instytucje kulturalne wspierające czytelnictwo</w:t>
            </w:r>
          </w:p>
        </w:tc>
        <w:tc>
          <w:tcPr>
            <w:tcW w:w="5670" w:type="dxa"/>
            <w:vAlign w:val="center"/>
          </w:tcPr>
          <w:p w:rsidR="00651111" w:rsidRPr="00BD1F04" w:rsidRDefault="00651111" w:rsidP="00567F66">
            <w:pPr>
              <w:jc w:val="both"/>
              <w:rPr>
                <w:rFonts w:ascii="Times New Roman" w:hAnsi="Times New Roman" w:cs="Times New Roman"/>
                <w:sz w:val="20"/>
                <w:szCs w:val="20"/>
              </w:rPr>
            </w:pPr>
            <w:r>
              <w:rPr>
                <w:rFonts w:ascii="Times New Roman" w:hAnsi="Times New Roman" w:cs="Times New Roman"/>
                <w:sz w:val="20"/>
                <w:szCs w:val="20"/>
              </w:rPr>
              <w:t>W 2005 roku było 8,6 tys. bibliotek, w 2011 – 8,3 tys. i w 2012 – 8,2 tys. Czytelników bibliotek w roku 2005 było 7,3 mln, w 2012 – 6,5 mln.</w:t>
            </w:r>
          </w:p>
        </w:tc>
        <w:tc>
          <w:tcPr>
            <w:tcW w:w="1134" w:type="dxa"/>
            <w:vAlign w:val="center"/>
          </w:tcPr>
          <w:p w:rsidR="00651111" w:rsidRDefault="00651111" w:rsidP="00E348C3">
            <w:pPr>
              <w:jc w:val="center"/>
              <w:rPr>
                <w:rFonts w:ascii="Times New Roman" w:hAnsi="Times New Roman" w:cs="Times New Roman"/>
                <w:sz w:val="20"/>
                <w:szCs w:val="20"/>
              </w:rPr>
            </w:pPr>
            <w:r>
              <w:rPr>
                <w:rFonts w:ascii="Times New Roman" w:hAnsi="Times New Roman" w:cs="Times New Roman"/>
                <w:sz w:val="20"/>
                <w:szCs w:val="20"/>
              </w:rPr>
              <w:t>stabilizacja</w:t>
            </w:r>
          </w:p>
        </w:tc>
        <w:tc>
          <w:tcPr>
            <w:tcW w:w="1259"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stabilizacja</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Poziom realnych dochodów</w:t>
            </w:r>
          </w:p>
        </w:tc>
        <w:tc>
          <w:tcPr>
            <w:tcW w:w="5670" w:type="dxa"/>
            <w:vAlign w:val="center"/>
          </w:tcPr>
          <w:p w:rsidR="00651111" w:rsidRPr="00C32A6B" w:rsidRDefault="00651111" w:rsidP="00567F66">
            <w:pPr>
              <w:jc w:val="both"/>
              <w:rPr>
                <w:rFonts w:ascii="Times New Roman" w:hAnsi="Times New Roman" w:cs="Times New Roman"/>
                <w:sz w:val="20"/>
                <w:szCs w:val="20"/>
              </w:rPr>
            </w:pPr>
            <w:r w:rsidRPr="00C32A6B">
              <w:rPr>
                <w:rFonts w:ascii="Times New Roman" w:hAnsi="Times New Roman" w:cs="Times New Roman"/>
                <w:sz w:val="20"/>
                <w:szCs w:val="20"/>
              </w:rPr>
              <w:t>Wskaźnik wzrostu 2010/20</w:t>
            </w:r>
            <w:r w:rsidR="00567F66">
              <w:rPr>
                <w:rFonts w:ascii="Times New Roman" w:hAnsi="Times New Roman" w:cs="Times New Roman"/>
                <w:sz w:val="20"/>
                <w:szCs w:val="20"/>
              </w:rPr>
              <w:t>09 - 101,4 proc., 2011/2010 – 101,2 proc., 2012/2011 – 99,2 proc</w:t>
            </w:r>
            <w:r>
              <w:rPr>
                <w:rFonts w:ascii="Times New Roman" w:hAnsi="Times New Roman" w:cs="Times New Roman"/>
                <w:sz w:val="20"/>
                <w:szCs w:val="20"/>
              </w:rPr>
              <w:t>. Spadek dochodów realnych byłby wyższy gdyby nie niska inflacja. Spadek wpływa m.in. na spadek zakupów, w tym książek.</w:t>
            </w:r>
          </w:p>
        </w:tc>
        <w:tc>
          <w:tcPr>
            <w:tcW w:w="1134"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c>
          <w:tcPr>
            <w:tcW w:w="1259"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Wydarzenia społeczno-kulturalne</w:t>
            </w:r>
          </w:p>
        </w:tc>
        <w:tc>
          <w:tcPr>
            <w:tcW w:w="5670" w:type="dxa"/>
            <w:vAlign w:val="center"/>
          </w:tcPr>
          <w:p w:rsidR="00651111" w:rsidRPr="00C32A6B" w:rsidRDefault="00651111" w:rsidP="00567F66">
            <w:pPr>
              <w:jc w:val="both"/>
              <w:rPr>
                <w:rFonts w:ascii="Times New Roman" w:hAnsi="Times New Roman" w:cs="Times New Roman"/>
                <w:sz w:val="20"/>
                <w:szCs w:val="20"/>
              </w:rPr>
            </w:pPr>
            <w:r>
              <w:rPr>
                <w:rFonts w:ascii="Times New Roman" w:hAnsi="Times New Roman" w:cs="Times New Roman"/>
                <w:sz w:val="20"/>
                <w:szCs w:val="20"/>
              </w:rPr>
              <w:t>Wpływ EURO 2012 na gospodarkę był mniejszy niż się spodziewano. Ilość wydarzeń sportowych i kulturalnych stabilizuje się, a potrzeby informacyjne są zaspakajane w większym stopniu przez Internet.</w:t>
            </w:r>
          </w:p>
        </w:tc>
        <w:tc>
          <w:tcPr>
            <w:tcW w:w="1134"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stabilizacja</w:t>
            </w:r>
          </w:p>
        </w:tc>
        <w:tc>
          <w:tcPr>
            <w:tcW w:w="1259"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Edukacja</w:t>
            </w:r>
          </w:p>
        </w:tc>
        <w:tc>
          <w:tcPr>
            <w:tcW w:w="5670" w:type="dxa"/>
            <w:vAlign w:val="center"/>
          </w:tcPr>
          <w:p w:rsidR="00651111" w:rsidRPr="00C32A6B" w:rsidRDefault="00651111" w:rsidP="00567F66">
            <w:pPr>
              <w:jc w:val="both"/>
              <w:rPr>
                <w:rFonts w:ascii="Times New Roman" w:hAnsi="Times New Roman" w:cs="Times New Roman"/>
                <w:sz w:val="20"/>
                <w:szCs w:val="20"/>
              </w:rPr>
            </w:pPr>
            <w:r w:rsidRPr="00C32A6B">
              <w:rPr>
                <w:rFonts w:ascii="Times New Roman" w:hAnsi="Times New Roman" w:cs="Times New Roman"/>
                <w:sz w:val="20"/>
                <w:szCs w:val="20"/>
              </w:rPr>
              <w:t xml:space="preserve">Od roku 2009 spada udział wydatków na edukację </w:t>
            </w:r>
            <w:r w:rsidR="00567F66">
              <w:rPr>
                <w:rFonts w:ascii="Times New Roman" w:hAnsi="Times New Roman" w:cs="Times New Roman"/>
                <w:sz w:val="20"/>
                <w:szCs w:val="20"/>
              </w:rPr>
              <w:t>w budżecie państwa: 2009 – 4,82 proc., 2010 – 4,66 proc., 2011 – 4,52 proc.</w:t>
            </w:r>
            <w:r w:rsidRPr="00C32A6B">
              <w:rPr>
                <w:rFonts w:ascii="Times New Roman" w:hAnsi="Times New Roman" w:cs="Times New Roman"/>
                <w:sz w:val="20"/>
                <w:szCs w:val="20"/>
              </w:rPr>
              <w:t xml:space="preserve">, </w:t>
            </w:r>
            <w:r>
              <w:rPr>
                <w:rFonts w:ascii="Times New Roman" w:hAnsi="Times New Roman" w:cs="Times New Roman"/>
                <w:sz w:val="20"/>
                <w:szCs w:val="20"/>
              </w:rPr>
              <w:t>za rok 2012 brak danych, ale prawdopodobnie nie będzie wzrostu</w:t>
            </w:r>
            <w:r w:rsidR="00515262">
              <w:rPr>
                <w:rFonts w:ascii="Times New Roman" w:hAnsi="Times New Roman" w:cs="Times New Roman"/>
                <w:sz w:val="20"/>
                <w:szCs w:val="20"/>
              </w:rPr>
              <w:t>.</w:t>
            </w:r>
          </w:p>
        </w:tc>
        <w:tc>
          <w:tcPr>
            <w:tcW w:w="1134"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c>
          <w:tcPr>
            <w:tcW w:w="1259"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r>
      <w:tr w:rsidR="00651111" w:rsidRPr="00C32A6B" w:rsidTr="00515262">
        <w:trPr>
          <w:trHeight w:val="876"/>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Czas wolny</w:t>
            </w:r>
          </w:p>
        </w:tc>
        <w:tc>
          <w:tcPr>
            <w:tcW w:w="5670" w:type="dxa"/>
            <w:vAlign w:val="center"/>
          </w:tcPr>
          <w:p w:rsidR="00651111" w:rsidRPr="00C32A6B" w:rsidRDefault="00651111" w:rsidP="00567F66">
            <w:pPr>
              <w:jc w:val="both"/>
              <w:rPr>
                <w:rFonts w:ascii="Times New Roman" w:hAnsi="Times New Roman" w:cs="Times New Roman"/>
                <w:sz w:val="20"/>
                <w:szCs w:val="20"/>
              </w:rPr>
            </w:pPr>
            <w:r w:rsidRPr="00C32A6B">
              <w:rPr>
                <w:rFonts w:ascii="Times New Roman" w:hAnsi="Times New Roman" w:cs="Times New Roman"/>
                <w:sz w:val="20"/>
                <w:szCs w:val="20"/>
              </w:rPr>
              <w:t>Wydatki na kulturę i rekreację w zasadzie nie rosną, a nawet biorąc pod uwag</w:t>
            </w:r>
            <w:r w:rsidR="00567F66">
              <w:rPr>
                <w:rFonts w:ascii="Times New Roman" w:hAnsi="Times New Roman" w:cs="Times New Roman"/>
                <w:sz w:val="20"/>
                <w:szCs w:val="20"/>
              </w:rPr>
              <w:t>ę inflację spadają: 2009 -101,2 proc., 2010 – 100,8 proc.</w:t>
            </w:r>
            <w:r w:rsidRPr="00C32A6B">
              <w:rPr>
                <w:rFonts w:ascii="Times New Roman" w:hAnsi="Times New Roman" w:cs="Times New Roman"/>
                <w:sz w:val="20"/>
                <w:szCs w:val="20"/>
              </w:rPr>
              <w:t>, 2011 – 101,0</w:t>
            </w:r>
            <w:r w:rsidR="00567F66">
              <w:rPr>
                <w:rFonts w:ascii="Times New Roman" w:hAnsi="Times New Roman" w:cs="Times New Roman"/>
                <w:sz w:val="20"/>
                <w:szCs w:val="20"/>
              </w:rPr>
              <w:t xml:space="preserve"> proc.</w:t>
            </w:r>
          </w:p>
        </w:tc>
        <w:tc>
          <w:tcPr>
            <w:tcW w:w="1134"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c>
          <w:tcPr>
            <w:tcW w:w="1259"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r>
      <w:tr w:rsidR="00651111" w:rsidRPr="00C32A6B" w:rsidTr="00515262">
        <w:trPr>
          <w:trHeight w:val="1146"/>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Styl życia</w:t>
            </w:r>
          </w:p>
        </w:tc>
        <w:tc>
          <w:tcPr>
            <w:tcW w:w="5670" w:type="dxa"/>
            <w:vAlign w:val="center"/>
          </w:tcPr>
          <w:p w:rsidR="00651111" w:rsidRPr="00C32A6B" w:rsidRDefault="00651111" w:rsidP="00567F66">
            <w:pPr>
              <w:jc w:val="both"/>
              <w:rPr>
                <w:rFonts w:ascii="Times New Roman" w:hAnsi="Times New Roman" w:cs="Times New Roman"/>
                <w:sz w:val="20"/>
                <w:szCs w:val="20"/>
              </w:rPr>
            </w:pPr>
            <w:r>
              <w:rPr>
                <w:rFonts w:ascii="Times New Roman" w:hAnsi="Times New Roman" w:cs="Times New Roman"/>
                <w:sz w:val="20"/>
                <w:szCs w:val="20"/>
              </w:rPr>
              <w:t>Zmiana stylu życia zwiększająca potrzeby kulturalne generuje potrzeby w zakresie czytelnictwa, ale zmiana stylu jest uwarunkowana też możliwościami finansowymi, które w ostatnim okresie spadają.</w:t>
            </w:r>
          </w:p>
        </w:tc>
        <w:tc>
          <w:tcPr>
            <w:tcW w:w="1134"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c>
          <w:tcPr>
            <w:tcW w:w="1259"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stabilizacja</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Poziom wykształcenia</w:t>
            </w:r>
          </w:p>
        </w:tc>
        <w:tc>
          <w:tcPr>
            <w:tcW w:w="5670" w:type="dxa"/>
            <w:vAlign w:val="center"/>
          </w:tcPr>
          <w:p w:rsidR="00651111" w:rsidRPr="00C32A6B" w:rsidRDefault="00651111" w:rsidP="00567F66">
            <w:pPr>
              <w:jc w:val="both"/>
              <w:rPr>
                <w:rFonts w:ascii="Times New Roman" w:hAnsi="Times New Roman" w:cs="Times New Roman"/>
                <w:sz w:val="20"/>
                <w:szCs w:val="20"/>
              </w:rPr>
            </w:pPr>
            <w:r w:rsidRPr="00C32A6B">
              <w:rPr>
                <w:rFonts w:ascii="Times New Roman" w:hAnsi="Times New Roman" w:cs="Times New Roman"/>
                <w:sz w:val="20"/>
                <w:szCs w:val="20"/>
              </w:rPr>
              <w:t xml:space="preserve">Absolwenci </w:t>
            </w:r>
            <w:r>
              <w:rPr>
                <w:rFonts w:ascii="Times New Roman" w:hAnsi="Times New Roman" w:cs="Times New Roman"/>
                <w:sz w:val="20"/>
                <w:szCs w:val="20"/>
              </w:rPr>
              <w:t xml:space="preserve">szkół wyższych </w:t>
            </w:r>
            <w:r w:rsidRPr="00C32A6B">
              <w:rPr>
                <w:rFonts w:ascii="Times New Roman" w:hAnsi="Times New Roman" w:cs="Times New Roman"/>
                <w:sz w:val="20"/>
                <w:szCs w:val="20"/>
              </w:rPr>
              <w:t>w poszczególnych latach: 2000 rok – 261 tys. 2005 rok – 391 tys. 2010 rok – 479  tys. 2011 ro</w:t>
            </w:r>
            <w:r>
              <w:rPr>
                <w:rFonts w:ascii="Times New Roman" w:hAnsi="Times New Roman" w:cs="Times New Roman"/>
                <w:sz w:val="20"/>
                <w:szCs w:val="20"/>
              </w:rPr>
              <w:t>k – 498 tys. 2012 rok – 485 tys. Pierwszy rok kiedy spada liczba absolwentów, ale jest to tendencja trwała wynikająca z demografii.</w:t>
            </w:r>
          </w:p>
        </w:tc>
        <w:tc>
          <w:tcPr>
            <w:tcW w:w="1134"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stabilizacja</w:t>
            </w:r>
          </w:p>
        </w:tc>
        <w:tc>
          <w:tcPr>
            <w:tcW w:w="1259"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regres</w:t>
            </w:r>
          </w:p>
        </w:tc>
      </w:tr>
    </w:tbl>
    <w:p w:rsidR="00D123AA" w:rsidRDefault="00D123AA" w:rsidP="009802A2">
      <w:pPr>
        <w:spacing w:after="0" w:line="240" w:lineRule="auto"/>
        <w:rPr>
          <w:rFonts w:ascii="Times New Roman" w:hAnsi="Times New Roman" w:cs="Times New Roman"/>
          <w:b/>
          <w:bCs/>
          <w:sz w:val="24"/>
          <w:szCs w:val="24"/>
        </w:rPr>
      </w:pPr>
    </w:p>
    <w:p w:rsidR="00E22F34" w:rsidRDefault="00E22F34" w:rsidP="009802A2">
      <w:pPr>
        <w:spacing w:after="0" w:line="240" w:lineRule="auto"/>
        <w:rPr>
          <w:rFonts w:ascii="Times New Roman" w:hAnsi="Times New Roman" w:cs="Times New Roman"/>
          <w:b/>
          <w:bCs/>
          <w:sz w:val="24"/>
          <w:szCs w:val="24"/>
        </w:rPr>
      </w:pPr>
    </w:p>
    <w:p w:rsidR="00E22F34" w:rsidRDefault="00E22F34" w:rsidP="009802A2">
      <w:pPr>
        <w:spacing w:after="0" w:line="240" w:lineRule="auto"/>
        <w:rPr>
          <w:rFonts w:ascii="Times New Roman" w:hAnsi="Times New Roman" w:cs="Times New Roman"/>
          <w:b/>
          <w:bCs/>
          <w:sz w:val="24"/>
          <w:szCs w:val="24"/>
        </w:rPr>
      </w:pPr>
    </w:p>
    <w:p w:rsidR="00DD4395" w:rsidRDefault="00DD4395" w:rsidP="009802A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Sfera Technologiczna</w:t>
      </w:r>
    </w:p>
    <w:p w:rsidR="004B4459" w:rsidRDefault="004B4459" w:rsidP="009802A2">
      <w:pPr>
        <w:spacing w:after="0" w:line="240" w:lineRule="auto"/>
        <w:rPr>
          <w:rFonts w:ascii="Times New Roman" w:hAnsi="Times New Roman" w:cs="Times New Roman"/>
          <w:b/>
          <w:bCs/>
          <w:sz w:val="24"/>
          <w:szCs w:val="24"/>
        </w:rPr>
      </w:pPr>
    </w:p>
    <w:tbl>
      <w:tblPr>
        <w:tblStyle w:val="Tabela-Siatka"/>
        <w:tblW w:w="10298" w:type="dxa"/>
        <w:tblLayout w:type="fixed"/>
        <w:tblLook w:val="04A0" w:firstRow="1" w:lastRow="0" w:firstColumn="1" w:lastColumn="0" w:noHBand="0" w:noVBand="1"/>
      </w:tblPr>
      <w:tblGrid>
        <w:gridCol w:w="2235"/>
        <w:gridCol w:w="5244"/>
        <w:gridCol w:w="1418"/>
        <w:gridCol w:w="1401"/>
      </w:tblGrid>
      <w:tr w:rsidR="00651111" w:rsidRPr="00C32A6B" w:rsidTr="00515262">
        <w:trPr>
          <w:trHeight w:val="278"/>
        </w:trPr>
        <w:tc>
          <w:tcPr>
            <w:tcW w:w="2235" w:type="dxa"/>
            <w:vMerge w:val="restart"/>
          </w:tcPr>
          <w:p w:rsidR="00651111" w:rsidRPr="00C32A6B" w:rsidRDefault="00651111" w:rsidP="00E348C3">
            <w:pPr>
              <w:ind w:right="302"/>
              <w:jc w:val="center"/>
              <w:rPr>
                <w:rFonts w:ascii="Times New Roman" w:hAnsi="Times New Roman" w:cs="Times New Roman"/>
                <w:b/>
                <w:sz w:val="24"/>
                <w:szCs w:val="24"/>
              </w:rPr>
            </w:pPr>
            <w:r w:rsidRPr="00C32A6B">
              <w:rPr>
                <w:rFonts w:ascii="Times New Roman" w:hAnsi="Times New Roman" w:cs="Times New Roman"/>
                <w:b/>
                <w:sz w:val="24"/>
                <w:szCs w:val="24"/>
              </w:rPr>
              <w:t>Czynniki makrootoczenia</w:t>
            </w:r>
          </w:p>
        </w:tc>
        <w:tc>
          <w:tcPr>
            <w:tcW w:w="5244" w:type="dxa"/>
            <w:vMerge w:val="restart"/>
            <w:vAlign w:val="center"/>
          </w:tcPr>
          <w:p w:rsidR="00651111" w:rsidRPr="00C32A6B" w:rsidRDefault="00651111" w:rsidP="00E348C3">
            <w:pPr>
              <w:jc w:val="center"/>
              <w:rPr>
                <w:rFonts w:ascii="Times New Roman" w:hAnsi="Times New Roman" w:cs="Times New Roman"/>
                <w:b/>
                <w:sz w:val="24"/>
                <w:szCs w:val="24"/>
              </w:rPr>
            </w:pPr>
            <w:r w:rsidRPr="00C32A6B">
              <w:rPr>
                <w:rFonts w:ascii="Times New Roman" w:hAnsi="Times New Roman" w:cs="Times New Roman"/>
                <w:b/>
                <w:sz w:val="24"/>
                <w:szCs w:val="24"/>
              </w:rPr>
              <w:t>Komentarz</w:t>
            </w:r>
          </w:p>
        </w:tc>
        <w:tc>
          <w:tcPr>
            <w:tcW w:w="2819" w:type="dxa"/>
            <w:gridSpan w:val="2"/>
          </w:tcPr>
          <w:p w:rsidR="00651111" w:rsidRPr="00C32A6B" w:rsidRDefault="00651111" w:rsidP="00E348C3">
            <w:pPr>
              <w:ind w:left="-108"/>
              <w:jc w:val="center"/>
              <w:rPr>
                <w:rFonts w:ascii="Times New Roman" w:hAnsi="Times New Roman" w:cs="Times New Roman"/>
                <w:b/>
                <w:sz w:val="24"/>
                <w:szCs w:val="24"/>
              </w:rPr>
            </w:pPr>
            <w:r w:rsidRPr="00C32A6B">
              <w:rPr>
                <w:rFonts w:ascii="Times New Roman" w:hAnsi="Times New Roman" w:cs="Times New Roman"/>
                <w:b/>
                <w:sz w:val="24"/>
                <w:szCs w:val="24"/>
              </w:rPr>
              <w:t>Kierunek siły wpływu</w:t>
            </w:r>
          </w:p>
        </w:tc>
      </w:tr>
      <w:tr w:rsidR="00651111" w:rsidRPr="00C32A6B" w:rsidTr="00515262">
        <w:trPr>
          <w:trHeight w:val="277"/>
        </w:trPr>
        <w:tc>
          <w:tcPr>
            <w:tcW w:w="2235" w:type="dxa"/>
            <w:vMerge/>
          </w:tcPr>
          <w:p w:rsidR="00651111" w:rsidRPr="00C32A6B" w:rsidRDefault="00651111" w:rsidP="00E348C3">
            <w:pPr>
              <w:ind w:right="302"/>
              <w:jc w:val="center"/>
              <w:rPr>
                <w:rFonts w:ascii="Times New Roman" w:hAnsi="Times New Roman" w:cs="Times New Roman"/>
                <w:b/>
                <w:sz w:val="24"/>
                <w:szCs w:val="24"/>
              </w:rPr>
            </w:pPr>
          </w:p>
        </w:tc>
        <w:tc>
          <w:tcPr>
            <w:tcW w:w="5244" w:type="dxa"/>
            <w:vMerge/>
            <w:vAlign w:val="center"/>
          </w:tcPr>
          <w:p w:rsidR="00651111" w:rsidRPr="00C32A6B" w:rsidRDefault="00651111" w:rsidP="00E348C3">
            <w:pPr>
              <w:jc w:val="center"/>
              <w:rPr>
                <w:rFonts w:ascii="Times New Roman" w:hAnsi="Times New Roman" w:cs="Times New Roman"/>
                <w:b/>
                <w:sz w:val="24"/>
                <w:szCs w:val="24"/>
              </w:rPr>
            </w:pPr>
          </w:p>
        </w:tc>
        <w:tc>
          <w:tcPr>
            <w:tcW w:w="1418" w:type="dxa"/>
          </w:tcPr>
          <w:p w:rsidR="00651111" w:rsidRPr="00C32A6B" w:rsidRDefault="00651111" w:rsidP="00E348C3">
            <w:pPr>
              <w:ind w:left="-108"/>
              <w:jc w:val="center"/>
              <w:rPr>
                <w:rFonts w:ascii="Times New Roman" w:hAnsi="Times New Roman" w:cs="Times New Roman"/>
                <w:sz w:val="24"/>
                <w:szCs w:val="24"/>
              </w:rPr>
            </w:pPr>
            <w:r w:rsidRPr="00C32A6B">
              <w:rPr>
                <w:rFonts w:ascii="Times New Roman" w:hAnsi="Times New Roman" w:cs="Times New Roman"/>
                <w:sz w:val="24"/>
                <w:szCs w:val="24"/>
              </w:rPr>
              <w:t>obecnie</w:t>
            </w:r>
          </w:p>
        </w:tc>
        <w:tc>
          <w:tcPr>
            <w:tcW w:w="1401" w:type="dxa"/>
          </w:tcPr>
          <w:p w:rsidR="00651111" w:rsidRPr="00C32A6B" w:rsidRDefault="00651111" w:rsidP="00E348C3">
            <w:pPr>
              <w:ind w:left="-108"/>
              <w:jc w:val="center"/>
              <w:rPr>
                <w:rFonts w:ascii="Times New Roman" w:hAnsi="Times New Roman" w:cs="Times New Roman"/>
                <w:sz w:val="24"/>
                <w:szCs w:val="24"/>
              </w:rPr>
            </w:pPr>
            <w:r w:rsidRPr="00C32A6B">
              <w:rPr>
                <w:rFonts w:ascii="Times New Roman" w:hAnsi="Times New Roman" w:cs="Times New Roman"/>
                <w:sz w:val="24"/>
                <w:szCs w:val="24"/>
              </w:rPr>
              <w:t>przyszłość</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Technologia komunikowania</w:t>
            </w:r>
          </w:p>
        </w:tc>
        <w:tc>
          <w:tcPr>
            <w:tcW w:w="5244" w:type="dxa"/>
            <w:vAlign w:val="center"/>
          </w:tcPr>
          <w:p w:rsidR="00651111" w:rsidRPr="00C32A6B" w:rsidRDefault="00651111" w:rsidP="00567F66">
            <w:pPr>
              <w:jc w:val="both"/>
              <w:rPr>
                <w:rFonts w:ascii="Times New Roman" w:hAnsi="Times New Roman" w:cs="Times New Roman"/>
                <w:sz w:val="20"/>
                <w:szCs w:val="20"/>
              </w:rPr>
            </w:pPr>
            <w:r w:rsidRPr="00C32A6B">
              <w:rPr>
                <w:rFonts w:ascii="Times New Roman" w:hAnsi="Times New Roman" w:cs="Times New Roman"/>
                <w:sz w:val="20"/>
                <w:szCs w:val="20"/>
              </w:rPr>
              <w:t xml:space="preserve">Technologie komunikowania </w:t>
            </w:r>
            <w:r>
              <w:rPr>
                <w:rFonts w:ascii="Times New Roman" w:hAnsi="Times New Roman" w:cs="Times New Roman"/>
                <w:sz w:val="20"/>
                <w:szCs w:val="20"/>
              </w:rPr>
              <w:t>to już nie jest tylko komputer w firmie. Rozwijają się przede wszystkim urządzenia i oprogramowania mobilne pozwalające na pracę i komunikowanie się nie tylko w nominalnym miejscu pracy.</w:t>
            </w:r>
          </w:p>
        </w:tc>
        <w:tc>
          <w:tcPr>
            <w:tcW w:w="1418" w:type="dxa"/>
            <w:vAlign w:val="center"/>
          </w:tcPr>
          <w:p w:rsidR="00651111" w:rsidRPr="00C32A6B" w:rsidRDefault="00651111" w:rsidP="00E348C3">
            <w:pPr>
              <w:jc w:val="center"/>
              <w:rPr>
                <w:rFonts w:ascii="Times New Roman" w:hAnsi="Times New Roman" w:cs="Times New Roman"/>
                <w:sz w:val="20"/>
                <w:szCs w:val="20"/>
              </w:rPr>
            </w:pPr>
            <w:r>
              <w:rPr>
                <w:rFonts w:ascii="Times New Roman" w:hAnsi="Times New Roman" w:cs="Times New Roman"/>
                <w:sz w:val="20"/>
                <w:szCs w:val="20"/>
              </w:rPr>
              <w:t>wzrost</w:t>
            </w:r>
          </w:p>
        </w:tc>
        <w:tc>
          <w:tcPr>
            <w:tcW w:w="1401"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Stopień informatyzacji</w:t>
            </w:r>
          </w:p>
        </w:tc>
        <w:tc>
          <w:tcPr>
            <w:tcW w:w="5244" w:type="dxa"/>
            <w:vAlign w:val="center"/>
          </w:tcPr>
          <w:p w:rsidR="00651111" w:rsidRPr="00C32A6B" w:rsidRDefault="00651111" w:rsidP="00567F66">
            <w:pPr>
              <w:jc w:val="both"/>
              <w:rPr>
                <w:rFonts w:ascii="Times New Roman" w:hAnsi="Times New Roman" w:cs="Times New Roman"/>
                <w:sz w:val="20"/>
                <w:szCs w:val="20"/>
              </w:rPr>
            </w:pPr>
            <w:r>
              <w:rPr>
                <w:rFonts w:ascii="Times New Roman" w:hAnsi="Times New Roman" w:cs="Times New Roman"/>
                <w:sz w:val="20"/>
                <w:szCs w:val="20"/>
              </w:rPr>
              <w:t>Praktycznie nie ma firmy, która by nie korzystała z informatyki w swoich działaniach produkcyjno-usługowych oraz związanych z zarządzaniem. Rośnie stopień informatyzacji i uzależnienia firm od informatyki w dobrym i złym znaczeniu.</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c>
          <w:tcPr>
            <w:tcW w:w="1401"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Stan Internetu</w:t>
            </w:r>
          </w:p>
        </w:tc>
        <w:tc>
          <w:tcPr>
            <w:tcW w:w="5244" w:type="dxa"/>
            <w:vAlign w:val="center"/>
          </w:tcPr>
          <w:p w:rsidR="00651111" w:rsidRPr="00C32A6B" w:rsidRDefault="00651111" w:rsidP="00567F66">
            <w:pPr>
              <w:jc w:val="both"/>
              <w:rPr>
                <w:rFonts w:ascii="Times New Roman" w:hAnsi="Times New Roman" w:cs="Times New Roman"/>
                <w:sz w:val="20"/>
                <w:szCs w:val="20"/>
              </w:rPr>
            </w:pPr>
            <w:r w:rsidRPr="00C32A6B">
              <w:rPr>
                <w:rFonts w:ascii="Times New Roman" w:hAnsi="Times New Roman" w:cs="Times New Roman"/>
                <w:sz w:val="20"/>
                <w:szCs w:val="20"/>
              </w:rPr>
              <w:t>Dostęp do Internetu w 20</w:t>
            </w:r>
            <w:r>
              <w:rPr>
                <w:rFonts w:ascii="Times New Roman" w:hAnsi="Times New Roman" w:cs="Times New Roman"/>
                <w:sz w:val="20"/>
                <w:szCs w:val="20"/>
              </w:rPr>
              <w:t>10</w:t>
            </w:r>
            <w:r w:rsidRPr="00C32A6B">
              <w:rPr>
                <w:rFonts w:ascii="Times New Roman" w:hAnsi="Times New Roman" w:cs="Times New Roman"/>
                <w:sz w:val="20"/>
                <w:szCs w:val="20"/>
              </w:rPr>
              <w:t xml:space="preserve"> roku miało 9</w:t>
            </w:r>
            <w:r>
              <w:rPr>
                <w:rFonts w:ascii="Times New Roman" w:hAnsi="Times New Roman" w:cs="Times New Roman"/>
                <w:sz w:val="20"/>
                <w:szCs w:val="20"/>
              </w:rPr>
              <w:t>5,8</w:t>
            </w:r>
            <w:r w:rsidR="00567F66">
              <w:rPr>
                <w:rFonts w:ascii="Times New Roman" w:hAnsi="Times New Roman" w:cs="Times New Roman"/>
                <w:sz w:val="20"/>
                <w:szCs w:val="20"/>
              </w:rPr>
              <w:t xml:space="preserve"> proc.</w:t>
            </w:r>
            <w:r w:rsidRPr="00C32A6B">
              <w:rPr>
                <w:rFonts w:ascii="Times New Roman" w:hAnsi="Times New Roman" w:cs="Times New Roman"/>
                <w:sz w:val="20"/>
                <w:szCs w:val="20"/>
              </w:rPr>
              <w:t xml:space="preserve"> firm, w 201</w:t>
            </w:r>
            <w:r>
              <w:rPr>
                <w:rFonts w:ascii="Times New Roman" w:hAnsi="Times New Roman" w:cs="Times New Roman"/>
                <w:sz w:val="20"/>
                <w:szCs w:val="20"/>
              </w:rPr>
              <w:t>1</w:t>
            </w:r>
            <w:r w:rsidRPr="00C32A6B">
              <w:rPr>
                <w:rFonts w:ascii="Times New Roman" w:hAnsi="Times New Roman" w:cs="Times New Roman"/>
                <w:sz w:val="20"/>
                <w:szCs w:val="20"/>
              </w:rPr>
              <w:t xml:space="preserve"> roku – 9</w:t>
            </w:r>
            <w:r>
              <w:rPr>
                <w:rFonts w:ascii="Times New Roman" w:hAnsi="Times New Roman" w:cs="Times New Roman"/>
                <w:sz w:val="20"/>
                <w:szCs w:val="20"/>
              </w:rPr>
              <w:t>3,9</w:t>
            </w:r>
            <w:r w:rsidR="00567F66">
              <w:rPr>
                <w:rFonts w:ascii="Times New Roman" w:hAnsi="Times New Roman" w:cs="Times New Roman"/>
                <w:sz w:val="20"/>
                <w:szCs w:val="20"/>
              </w:rPr>
              <w:t xml:space="preserve"> proc.</w:t>
            </w:r>
            <w:r w:rsidRPr="00C32A6B">
              <w:rPr>
                <w:rFonts w:ascii="Times New Roman" w:hAnsi="Times New Roman" w:cs="Times New Roman"/>
                <w:sz w:val="20"/>
                <w:szCs w:val="20"/>
              </w:rPr>
              <w:t xml:space="preserve"> i w roku 201</w:t>
            </w:r>
            <w:r w:rsidR="00567F66">
              <w:rPr>
                <w:rFonts w:ascii="Times New Roman" w:hAnsi="Times New Roman" w:cs="Times New Roman"/>
                <w:sz w:val="20"/>
                <w:szCs w:val="20"/>
              </w:rPr>
              <w:t>2– 93,2 proc</w:t>
            </w:r>
            <w:r>
              <w:rPr>
                <w:rFonts w:ascii="Times New Roman" w:hAnsi="Times New Roman" w:cs="Times New Roman"/>
                <w:sz w:val="20"/>
                <w:szCs w:val="20"/>
              </w:rPr>
              <w:t xml:space="preserve">. Ale dostęp do Internetu </w:t>
            </w:r>
            <w:r w:rsidR="000164A5">
              <w:rPr>
                <w:rFonts w:ascii="Times New Roman" w:hAnsi="Times New Roman" w:cs="Times New Roman"/>
                <w:sz w:val="20"/>
                <w:szCs w:val="20"/>
              </w:rPr>
              <w:t>szerokopasmowego</w:t>
            </w:r>
            <w:r w:rsidR="00455332">
              <w:rPr>
                <w:rFonts w:ascii="Times New Roman" w:hAnsi="Times New Roman" w:cs="Times New Roman"/>
                <w:sz w:val="20"/>
                <w:szCs w:val="20"/>
              </w:rPr>
              <w:t xml:space="preserve"> </w:t>
            </w:r>
            <w:r w:rsidR="00567F66">
              <w:rPr>
                <w:rFonts w:ascii="Times New Roman" w:hAnsi="Times New Roman" w:cs="Times New Roman"/>
                <w:sz w:val="20"/>
                <w:szCs w:val="20"/>
              </w:rPr>
              <w:t>miał inną dynamikę: 2010 – 69 proc., 2011 – 77,5 proc. i w 2012 – 81,9 proc</w:t>
            </w:r>
            <w:r>
              <w:rPr>
                <w:rFonts w:ascii="Times New Roman" w:hAnsi="Times New Roman" w:cs="Times New Roman"/>
                <w:sz w:val="20"/>
                <w:szCs w:val="20"/>
              </w:rPr>
              <w:t>.</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c>
          <w:tcPr>
            <w:tcW w:w="1401"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Szybkość transferu technologii</w:t>
            </w:r>
          </w:p>
        </w:tc>
        <w:tc>
          <w:tcPr>
            <w:tcW w:w="5244" w:type="dxa"/>
            <w:vAlign w:val="center"/>
          </w:tcPr>
          <w:p w:rsidR="00651111" w:rsidRPr="00C32A6B" w:rsidRDefault="00651111" w:rsidP="00567F66">
            <w:pPr>
              <w:jc w:val="both"/>
              <w:rPr>
                <w:rFonts w:ascii="Times New Roman" w:hAnsi="Times New Roman" w:cs="Times New Roman"/>
                <w:sz w:val="20"/>
                <w:szCs w:val="20"/>
              </w:rPr>
            </w:pPr>
            <w:r w:rsidRPr="00C32A6B">
              <w:rPr>
                <w:rFonts w:ascii="Times New Roman" w:hAnsi="Times New Roman" w:cs="Times New Roman"/>
                <w:sz w:val="20"/>
                <w:szCs w:val="20"/>
              </w:rPr>
              <w:t xml:space="preserve">Szybki transfer technologii w ramach globalizacji gospodarki w połączeniu z coraz łatwiejszym transferem finansów oraz migracją wyszkolonych </w:t>
            </w:r>
            <w:r w:rsidR="000164A5" w:rsidRPr="00C32A6B">
              <w:rPr>
                <w:rFonts w:ascii="Times New Roman" w:hAnsi="Times New Roman" w:cs="Times New Roman"/>
                <w:sz w:val="20"/>
                <w:szCs w:val="20"/>
              </w:rPr>
              <w:t>pracowników.</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c>
          <w:tcPr>
            <w:tcW w:w="1401"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Poziom technologiczny</w:t>
            </w:r>
          </w:p>
        </w:tc>
        <w:tc>
          <w:tcPr>
            <w:tcW w:w="5244" w:type="dxa"/>
            <w:vAlign w:val="center"/>
          </w:tcPr>
          <w:p w:rsidR="00651111" w:rsidRPr="00C32A6B" w:rsidRDefault="00651111" w:rsidP="00567F66">
            <w:pPr>
              <w:jc w:val="both"/>
              <w:rPr>
                <w:rFonts w:ascii="Times New Roman" w:hAnsi="Times New Roman" w:cs="Times New Roman"/>
                <w:sz w:val="20"/>
                <w:szCs w:val="20"/>
              </w:rPr>
            </w:pPr>
            <w:r w:rsidRPr="00C32A6B">
              <w:rPr>
                <w:rFonts w:ascii="Times New Roman" w:hAnsi="Times New Roman" w:cs="Times New Roman"/>
                <w:sz w:val="20"/>
                <w:szCs w:val="20"/>
              </w:rPr>
              <w:t>Poziom technologiczny świata, Europy i w tym Polski bardzo szybko rośnie. Wiąże się to z szybkim przepływem technologii wynikającym z technik komunikowania się nowoczesnych społeczeństw</w:t>
            </w:r>
            <w:r>
              <w:rPr>
                <w:rFonts w:ascii="Times New Roman" w:hAnsi="Times New Roman" w:cs="Times New Roman"/>
                <w:sz w:val="20"/>
                <w:szCs w:val="20"/>
              </w:rPr>
              <w:t xml:space="preserve"> oraz ich przemieszczaniem.</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c>
          <w:tcPr>
            <w:tcW w:w="1401"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Stan systemów zarządzania</w:t>
            </w:r>
          </w:p>
        </w:tc>
        <w:tc>
          <w:tcPr>
            <w:tcW w:w="5244" w:type="dxa"/>
            <w:vAlign w:val="center"/>
          </w:tcPr>
          <w:p w:rsidR="00651111" w:rsidRPr="00C32A6B" w:rsidRDefault="00651111" w:rsidP="00567F66">
            <w:pPr>
              <w:jc w:val="both"/>
              <w:rPr>
                <w:rFonts w:ascii="Times New Roman" w:hAnsi="Times New Roman" w:cs="Times New Roman"/>
                <w:sz w:val="20"/>
                <w:szCs w:val="20"/>
              </w:rPr>
            </w:pPr>
            <w:r w:rsidRPr="00C32A6B">
              <w:rPr>
                <w:rFonts w:ascii="Times New Roman" w:hAnsi="Times New Roman" w:cs="Times New Roman"/>
                <w:sz w:val="20"/>
                <w:szCs w:val="20"/>
              </w:rPr>
              <w:t xml:space="preserve">Systemy zarządzania ERP II w coraz większym stopniu wdrażane są do </w:t>
            </w:r>
            <w:r>
              <w:rPr>
                <w:rFonts w:ascii="Times New Roman" w:hAnsi="Times New Roman" w:cs="Times New Roman"/>
                <w:sz w:val="20"/>
                <w:szCs w:val="20"/>
              </w:rPr>
              <w:t>firm</w:t>
            </w:r>
            <w:r w:rsidRPr="00C32A6B">
              <w:rPr>
                <w:rFonts w:ascii="Times New Roman" w:hAnsi="Times New Roman" w:cs="Times New Roman"/>
                <w:sz w:val="20"/>
                <w:szCs w:val="20"/>
              </w:rPr>
              <w:t>. Ich wpływ na wyniki również rośnie</w:t>
            </w:r>
            <w:r>
              <w:rPr>
                <w:rFonts w:ascii="Times New Roman" w:hAnsi="Times New Roman" w:cs="Times New Roman"/>
                <w:sz w:val="20"/>
                <w:szCs w:val="20"/>
              </w:rPr>
              <w:t>, chociaż nie tak widocznie jak powinien.</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c>
          <w:tcPr>
            <w:tcW w:w="1401"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Wydatki  na B+R</w:t>
            </w:r>
          </w:p>
        </w:tc>
        <w:tc>
          <w:tcPr>
            <w:tcW w:w="5244" w:type="dxa"/>
            <w:vAlign w:val="center"/>
          </w:tcPr>
          <w:p w:rsidR="00651111" w:rsidRPr="00C32A6B" w:rsidRDefault="00651111" w:rsidP="00567F66">
            <w:pPr>
              <w:jc w:val="both"/>
              <w:rPr>
                <w:rFonts w:ascii="Times New Roman" w:hAnsi="Times New Roman" w:cs="Times New Roman"/>
                <w:sz w:val="20"/>
                <w:szCs w:val="20"/>
              </w:rPr>
            </w:pPr>
            <w:r w:rsidRPr="00C32A6B">
              <w:rPr>
                <w:rFonts w:ascii="Times New Roman" w:hAnsi="Times New Roman" w:cs="Times New Roman"/>
                <w:sz w:val="20"/>
                <w:szCs w:val="20"/>
              </w:rPr>
              <w:t>Wskaźnik wydatków na prace badawczo-rozwojowe w 2000 wynosił 0,64, w 2005  – 0,57, w 2009 – 0,67</w:t>
            </w:r>
            <w:r>
              <w:rPr>
                <w:rFonts w:ascii="Times New Roman" w:hAnsi="Times New Roman" w:cs="Times New Roman"/>
                <w:sz w:val="20"/>
                <w:szCs w:val="20"/>
              </w:rPr>
              <w:t xml:space="preserve">, </w:t>
            </w:r>
            <w:r w:rsidRPr="00C32A6B">
              <w:rPr>
                <w:rFonts w:ascii="Times New Roman" w:hAnsi="Times New Roman" w:cs="Times New Roman"/>
                <w:sz w:val="20"/>
                <w:szCs w:val="20"/>
              </w:rPr>
              <w:t xml:space="preserve">w </w:t>
            </w:r>
            <w:r>
              <w:rPr>
                <w:rFonts w:ascii="Times New Roman" w:hAnsi="Times New Roman" w:cs="Times New Roman"/>
                <w:sz w:val="20"/>
                <w:szCs w:val="20"/>
              </w:rPr>
              <w:t>2010 – 0,74, a w 2011 – 0,77. Plan na 2020 zakłada 1,7</w:t>
            </w:r>
            <w:r w:rsidRPr="00C32A6B">
              <w:rPr>
                <w:rFonts w:ascii="Times New Roman" w:hAnsi="Times New Roman" w:cs="Times New Roman"/>
                <w:sz w:val="20"/>
                <w:szCs w:val="20"/>
              </w:rPr>
              <w:t xml:space="preserve">. </w:t>
            </w:r>
            <w:r>
              <w:rPr>
                <w:rFonts w:ascii="Times New Roman" w:hAnsi="Times New Roman" w:cs="Times New Roman"/>
                <w:sz w:val="20"/>
                <w:szCs w:val="20"/>
              </w:rPr>
              <w:t>Średnia UE</w:t>
            </w:r>
            <w:r w:rsidR="00455332">
              <w:rPr>
                <w:rFonts w:ascii="Times New Roman" w:hAnsi="Times New Roman" w:cs="Times New Roman"/>
                <w:sz w:val="20"/>
                <w:szCs w:val="20"/>
              </w:rPr>
              <w:t xml:space="preserve"> </w:t>
            </w:r>
            <w:r w:rsidR="00567F66">
              <w:rPr>
                <w:rFonts w:ascii="Times New Roman" w:hAnsi="Times New Roman" w:cs="Times New Roman"/>
                <w:sz w:val="20"/>
                <w:szCs w:val="20"/>
              </w:rPr>
              <w:t>w 2011 wyniosła 2,03 proc., a plan na 2020 powyżej 3 proc</w:t>
            </w:r>
            <w:r>
              <w:rPr>
                <w:rFonts w:ascii="Times New Roman" w:hAnsi="Times New Roman" w:cs="Times New Roman"/>
                <w:sz w:val="20"/>
                <w:szCs w:val="20"/>
              </w:rPr>
              <w:t>.</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c>
          <w:tcPr>
            <w:tcW w:w="1401"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r w:rsidR="00651111" w:rsidRPr="00C32A6B" w:rsidTr="00515262">
        <w:trPr>
          <w:trHeight w:val="277"/>
        </w:trPr>
        <w:tc>
          <w:tcPr>
            <w:tcW w:w="2235" w:type="dxa"/>
          </w:tcPr>
          <w:p w:rsidR="00651111" w:rsidRPr="00C32A6B" w:rsidRDefault="00651111" w:rsidP="00E348C3">
            <w:pPr>
              <w:rPr>
                <w:rFonts w:ascii="Times New Roman" w:hAnsi="Times New Roman" w:cs="Times New Roman"/>
                <w:sz w:val="20"/>
                <w:szCs w:val="20"/>
              </w:rPr>
            </w:pPr>
            <w:r w:rsidRPr="00C32A6B">
              <w:rPr>
                <w:rFonts w:ascii="Times New Roman" w:hAnsi="Times New Roman" w:cs="Times New Roman"/>
                <w:sz w:val="20"/>
                <w:szCs w:val="20"/>
              </w:rPr>
              <w:t>Cykl życia produktów</w:t>
            </w:r>
          </w:p>
        </w:tc>
        <w:tc>
          <w:tcPr>
            <w:tcW w:w="5244" w:type="dxa"/>
            <w:vAlign w:val="center"/>
          </w:tcPr>
          <w:p w:rsidR="00651111" w:rsidRPr="00C32A6B" w:rsidRDefault="00651111" w:rsidP="00567F66">
            <w:pPr>
              <w:jc w:val="both"/>
              <w:rPr>
                <w:rFonts w:ascii="Times New Roman" w:hAnsi="Times New Roman" w:cs="Times New Roman"/>
                <w:sz w:val="20"/>
                <w:szCs w:val="20"/>
              </w:rPr>
            </w:pPr>
            <w:r w:rsidRPr="00C32A6B">
              <w:rPr>
                <w:rFonts w:ascii="Times New Roman" w:hAnsi="Times New Roman" w:cs="Times New Roman"/>
                <w:sz w:val="20"/>
                <w:szCs w:val="20"/>
              </w:rPr>
              <w:t xml:space="preserve">Skraca się z powodów oczekiwań konsumenckich, wpływa to </w:t>
            </w:r>
            <w:r>
              <w:rPr>
                <w:rFonts w:ascii="Times New Roman" w:hAnsi="Times New Roman" w:cs="Times New Roman"/>
                <w:sz w:val="20"/>
                <w:szCs w:val="20"/>
              </w:rPr>
              <w:t>również na potrzeby zwiększania nowości wydawniczych.</w:t>
            </w:r>
          </w:p>
        </w:tc>
        <w:tc>
          <w:tcPr>
            <w:tcW w:w="1418"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stabilizacja</w:t>
            </w:r>
          </w:p>
        </w:tc>
        <w:tc>
          <w:tcPr>
            <w:tcW w:w="1401" w:type="dxa"/>
            <w:vAlign w:val="center"/>
          </w:tcPr>
          <w:p w:rsidR="00651111" w:rsidRPr="00C32A6B" w:rsidRDefault="00651111" w:rsidP="00E348C3">
            <w:pPr>
              <w:jc w:val="center"/>
              <w:rPr>
                <w:rFonts w:ascii="Times New Roman" w:hAnsi="Times New Roman" w:cs="Times New Roman"/>
                <w:sz w:val="20"/>
                <w:szCs w:val="20"/>
              </w:rPr>
            </w:pPr>
            <w:r w:rsidRPr="00C32A6B">
              <w:rPr>
                <w:rFonts w:ascii="Times New Roman" w:hAnsi="Times New Roman" w:cs="Times New Roman"/>
                <w:sz w:val="20"/>
                <w:szCs w:val="20"/>
              </w:rPr>
              <w:t>wzrost</w:t>
            </w:r>
          </w:p>
        </w:tc>
      </w:tr>
    </w:tbl>
    <w:p w:rsidR="00DD4395" w:rsidRPr="00785A50" w:rsidRDefault="00DD4395" w:rsidP="00515262">
      <w:pPr>
        <w:jc w:val="both"/>
        <w:rPr>
          <w:i/>
          <w:iCs/>
        </w:rPr>
      </w:pPr>
      <w:r w:rsidRPr="00785A50">
        <w:rPr>
          <w:i/>
          <w:iCs/>
        </w:rPr>
        <w:t>Źródło: opracowanie własne</w:t>
      </w:r>
      <w:r>
        <w:rPr>
          <w:i/>
          <w:iCs/>
        </w:rPr>
        <w:t xml:space="preserve"> na podstawie danych GUS.</w:t>
      </w:r>
    </w:p>
    <w:p w:rsidR="00515262" w:rsidRDefault="00515262" w:rsidP="003C534F">
      <w:pPr>
        <w:pStyle w:val="Akapitzlist"/>
        <w:spacing w:after="120" w:line="360" w:lineRule="auto"/>
        <w:ind w:left="360"/>
        <w:rPr>
          <w:rFonts w:ascii="Times New Roman" w:hAnsi="Times New Roman" w:cs="Times New Roman"/>
          <w:b/>
          <w:bCs/>
          <w:i/>
          <w:iCs/>
          <w:sz w:val="26"/>
          <w:szCs w:val="26"/>
        </w:rPr>
      </w:pPr>
    </w:p>
    <w:p w:rsidR="003F61DD" w:rsidRDefault="003F61DD" w:rsidP="00710B2C">
      <w:pPr>
        <w:spacing w:after="120" w:line="360" w:lineRule="auto"/>
        <w:ind w:firstLine="360"/>
        <w:rPr>
          <w:rFonts w:ascii="Times New Roman" w:hAnsi="Times New Roman" w:cs="Times New Roman"/>
          <w:b/>
          <w:bCs/>
          <w:i/>
          <w:iCs/>
          <w:sz w:val="26"/>
          <w:szCs w:val="26"/>
        </w:rPr>
      </w:pPr>
    </w:p>
    <w:p w:rsidR="00DD4395" w:rsidRPr="00515262" w:rsidRDefault="00DD4395" w:rsidP="00710B2C">
      <w:pPr>
        <w:spacing w:after="120" w:line="360" w:lineRule="auto"/>
        <w:ind w:firstLine="360"/>
        <w:rPr>
          <w:rFonts w:ascii="Times New Roman" w:hAnsi="Times New Roman" w:cs="Times New Roman"/>
          <w:b/>
          <w:bCs/>
          <w:i/>
          <w:iCs/>
          <w:sz w:val="26"/>
          <w:szCs w:val="26"/>
        </w:rPr>
      </w:pPr>
      <w:r w:rsidRPr="00515262">
        <w:rPr>
          <w:rFonts w:ascii="Times New Roman" w:hAnsi="Times New Roman" w:cs="Times New Roman"/>
          <w:b/>
          <w:bCs/>
          <w:i/>
          <w:iCs/>
          <w:sz w:val="26"/>
          <w:szCs w:val="26"/>
        </w:rPr>
        <w:lastRenderedPageBreak/>
        <w:t>Szanse:</w:t>
      </w:r>
    </w:p>
    <w:p w:rsidR="00B7615A" w:rsidRDefault="00DD4395" w:rsidP="00710B2C">
      <w:pPr>
        <w:pStyle w:val="Akapitzlist"/>
        <w:spacing w:line="360" w:lineRule="auto"/>
        <w:ind w:left="0" w:firstLine="360"/>
        <w:jc w:val="both"/>
        <w:rPr>
          <w:rFonts w:ascii="Times New Roman" w:hAnsi="Times New Roman" w:cs="Times New Roman"/>
          <w:sz w:val="24"/>
          <w:szCs w:val="24"/>
        </w:rPr>
      </w:pPr>
      <w:r w:rsidRPr="00D123AA">
        <w:rPr>
          <w:rFonts w:ascii="Times New Roman" w:hAnsi="Times New Roman" w:cs="Times New Roman"/>
          <w:sz w:val="24"/>
          <w:szCs w:val="24"/>
        </w:rPr>
        <w:t xml:space="preserve">Sfera polityczna </w:t>
      </w:r>
      <w:r w:rsidR="008E7697">
        <w:rPr>
          <w:rFonts w:ascii="Times New Roman" w:hAnsi="Times New Roman" w:cs="Times New Roman"/>
          <w:sz w:val="24"/>
          <w:szCs w:val="24"/>
        </w:rPr>
        <w:t>generuje</w:t>
      </w:r>
      <w:r w:rsidR="00E87599" w:rsidRPr="00D123AA">
        <w:rPr>
          <w:rFonts w:ascii="Times New Roman" w:hAnsi="Times New Roman" w:cs="Times New Roman"/>
          <w:sz w:val="24"/>
          <w:szCs w:val="24"/>
        </w:rPr>
        <w:t xml:space="preserve"> </w:t>
      </w:r>
      <w:r w:rsidR="00455332">
        <w:rPr>
          <w:rFonts w:ascii="Times New Roman" w:hAnsi="Times New Roman" w:cs="Times New Roman"/>
          <w:sz w:val="24"/>
          <w:szCs w:val="24"/>
        </w:rPr>
        <w:t xml:space="preserve">często </w:t>
      </w:r>
      <w:r w:rsidR="00E87599" w:rsidRPr="00D123AA">
        <w:rPr>
          <w:rFonts w:ascii="Times New Roman" w:hAnsi="Times New Roman" w:cs="Times New Roman"/>
          <w:sz w:val="24"/>
          <w:szCs w:val="24"/>
        </w:rPr>
        <w:t>szanse</w:t>
      </w:r>
      <w:r w:rsidR="001E2EB7">
        <w:rPr>
          <w:rFonts w:ascii="Times New Roman" w:hAnsi="Times New Roman" w:cs="Times New Roman"/>
          <w:sz w:val="24"/>
          <w:szCs w:val="24"/>
        </w:rPr>
        <w:t xml:space="preserve">, które wymagają czasu do ich </w:t>
      </w:r>
      <w:r w:rsidR="00E83292">
        <w:rPr>
          <w:rFonts w:ascii="Times New Roman" w:hAnsi="Times New Roman" w:cs="Times New Roman"/>
          <w:sz w:val="24"/>
          <w:szCs w:val="24"/>
        </w:rPr>
        <w:t xml:space="preserve">wykorzystania. </w:t>
      </w:r>
      <w:r w:rsidR="001E2EB7">
        <w:rPr>
          <w:rFonts w:ascii="Times New Roman" w:hAnsi="Times New Roman" w:cs="Times New Roman"/>
          <w:sz w:val="24"/>
          <w:szCs w:val="24"/>
        </w:rPr>
        <w:t xml:space="preserve">Szansą, </w:t>
      </w:r>
      <w:r w:rsidR="00E348C3">
        <w:rPr>
          <w:rFonts w:ascii="Times New Roman" w:hAnsi="Times New Roman" w:cs="Times New Roman"/>
          <w:sz w:val="24"/>
          <w:szCs w:val="24"/>
        </w:rPr>
        <w:t>która jest wymieniana jako jedna z ważniejszych, to</w:t>
      </w:r>
      <w:r w:rsidR="001E2EB7">
        <w:rPr>
          <w:rFonts w:ascii="Times New Roman" w:hAnsi="Times New Roman" w:cs="Times New Roman"/>
          <w:sz w:val="24"/>
          <w:szCs w:val="24"/>
        </w:rPr>
        <w:t xml:space="preserve"> integracja UE</w:t>
      </w:r>
      <w:r w:rsidR="00455332">
        <w:rPr>
          <w:rFonts w:ascii="Times New Roman" w:hAnsi="Times New Roman" w:cs="Times New Roman"/>
          <w:sz w:val="24"/>
          <w:szCs w:val="24"/>
        </w:rPr>
        <w:t>, ona właśnie wymaga czasu</w:t>
      </w:r>
      <w:r w:rsidR="00B5089B">
        <w:rPr>
          <w:rFonts w:ascii="Times New Roman" w:hAnsi="Times New Roman" w:cs="Times New Roman"/>
          <w:sz w:val="24"/>
          <w:szCs w:val="24"/>
        </w:rPr>
        <w:t>.</w:t>
      </w:r>
      <w:r w:rsidR="001E2EB7">
        <w:rPr>
          <w:rFonts w:ascii="Times New Roman" w:hAnsi="Times New Roman" w:cs="Times New Roman"/>
          <w:sz w:val="24"/>
          <w:szCs w:val="24"/>
        </w:rPr>
        <w:t xml:space="preserve"> </w:t>
      </w:r>
      <w:r w:rsidR="004C7F7C">
        <w:rPr>
          <w:rFonts w:ascii="Times New Roman" w:hAnsi="Times New Roman" w:cs="Times New Roman"/>
          <w:sz w:val="24"/>
          <w:szCs w:val="24"/>
        </w:rPr>
        <w:t xml:space="preserve">Zmiany w prawie pracy nie są jednoznacznie odbierane przez społeczeństwo. Zwiększenie swobody w formie zatrudniania oraz elastyczności w wykorzystaniu czasu pracy jest dobre dla firm, gorzej jest oceniane przez związki zawodowe. </w:t>
      </w:r>
      <w:r w:rsidR="001F5656">
        <w:rPr>
          <w:rFonts w:ascii="Times New Roman" w:hAnsi="Times New Roman" w:cs="Times New Roman"/>
          <w:sz w:val="24"/>
          <w:szCs w:val="24"/>
        </w:rPr>
        <w:t xml:space="preserve">Praca w wydawnictwie od zarania </w:t>
      </w:r>
      <w:r w:rsidR="00E83292">
        <w:rPr>
          <w:rFonts w:ascii="Times New Roman" w:hAnsi="Times New Roman" w:cs="Times New Roman"/>
          <w:sz w:val="24"/>
          <w:szCs w:val="24"/>
        </w:rPr>
        <w:t xml:space="preserve">to </w:t>
      </w:r>
      <w:r w:rsidR="001F5656">
        <w:rPr>
          <w:rFonts w:ascii="Times New Roman" w:hAnsi="Times New Roman" w:cs="Times New Roman"/>
          <w:sz w:val="24"/>
          <w:szCs w:val="24"/>
        </w:rPr>
        <w:t>praca w elastycznym czasie pracy, nawet jeżeli był (jest) to etat</w:t>
      </w:r>
      <w:r w:rsidR="004C0FFF">
        <w:rPr>
          <w:rFonts w:ascii="Times New Roman" w:hAnsi="Times New Roman" w:cs="Times New Roman"/>
          <w:sz w:val="24"/>
          <w:szCs w:val="24"/>
        </w:rPr>
        <w:t>,</w:t>
      </w:r>
      <w:r w:rsidR="003F61DD">
        <w:rPr>
          <w:rFonts w:ascii="Times New Roman" w:hAnsi="Times New Roman" w:cs="Times New Roman"/>
          <w:sz w:val="24"/>
          <w:szCs w:val="24"/>
        </w:rPr>
        <w:t xml:space="preserve"> </w:t>
      </w:r>
      <w:r w:rsidR="004C0FFF">
        <w:rPr>
          <w:rFonts w:ascii="Times New Roman" w:hAnsi="Times New Roman" w:cs="Times New Roman"/>
          <w:sz w:val="24"/>
          <w:szCs w:val="24"/>
        </w:rPr>
        <w:t>p</w:t>
      </w:r>
      <w:r w:rsidR="00E83292">
        <w:rPr>
          <w:rFonts w:ascii="Times New Roman" w:hAnsi="Times New Roman" w:cs="Times New Roman"/>
          <w:sz w:val="24"/>
          <w:szCs w:val="24"/>
        </w:rPr>
        <w:t>onadto k</w:t>
      </w:r>
      <w:r w:rsidR="001F5656">
        <w:rPr>
          <w:rFonts w:ascii="Times New Roman" w:hAnsi="Times New Roman" w:cs="Times New Roman"/>
          <w:sz w:val="24"/>
          <w:szCs w:val="24"/>
        </w:rPr>
        <w:t>orzystanie z</w:t>
      </w:r>
      <w:r w:rsidR="004C7F7C">
        <w:rPr>
          <w:rFonts w:ascii="Times New Roman" w:hAnsi="Times New Roman" w:cs="Times New Roman"/>
          <w:sz w:val="24"/>
          <w:szCs w:val="24"/>
        </w:rPr>
        <w:t xml:space="preserve"> zatrudniania </w:t>
      </w:r>
      <w:r w:rsidR="00B45E0F">
        <w:rPr>
          <w:rFonts w:ascii="Times New Roman" w:hAnsi="Times New Roman" w:cs="Times New Roman"/>
          <w:sz w:val="24"/>
          <w:szCs w:val="24"/>
        </w:rPr>
        <w:t>na umowy zlecenie</w:t>
      </w:r>
      <w:r w:rsidR="001F5656">
        <w:rPr>
          <w:rFonts w:ascii="Times New Roman" w:hAnsi="Times New Roman" w:cs="Times New Roman"/>
          <w:sz w:val="24"/>
          <w:szCs w:val="24"/>
        </w:rPr>
        <w:t>, umowy o dzieło</w:t>
      </w:r>
      <w:r w:rsidR="004C7F7C">
        <w:rPr>
          <w:rFonts w:ascii="Times New Roman" w:hAnsi="Times New Roman" w:cs="Times New Roman"/>
          <w:sz w:val="24"/>
          <w:szCs w:val="24"/>
        </w:rPr>
        <w:t xml:space="preserve">. </w:t>
      </w:r>
      <w:r w:rsidR="00B7615A">
        <w:rPr>
          <w:rFonts w:ascii="Times New Roman" w:hAnsi="Times New Roman" w:cs="Times New Roman"/>
          <w:sz w:val="24"/>
          <w:szCs w:val="24"/>
        </w:rPr>
        <w:t xml:space="preserve">Szansą zdecydowanie </w:t>
      </w:r>
      <w:r w:rsidR="00E348C3">
        <w:rPr>
          <w:rFonts w:ascii="Times New Roman" w:hAnsi="Times New Roman" w:cs="Times New Roman"/>
          <w:sz w:val="24"/>
          <w:szCs w:val="24"/>
        </w:rPr>
        <w:t xml:space="preserve">mało </w:t>
      </w:r>
      <w:r w:rsidR="00B7615A">
        <w:rPr>
          <w:rFonts w:ascii="Times New Roman" w:hAnsi="Times New Roman" w:cs="Times New Roman"/>
          <w:sz w:val="24"/>
          <w:szCs w:val="24"/>
        </w:rPr>
        <w:t xml:space="preserve">wykorzystywaną przez </w:t>
      </w:r>
      <w:r w:rsidR="00E348C3">
        <w:rPr>
          <w:rFonts w:ascii="Times New Roman" w:hAnsi="Times New Roman" w:cs="Times New Roman"/>
          <w:sz w:val="24"/>
          <w:szCs w:val="24"/>
        </w:rPr>
        <w:t xml:space="preserve">polskie wydawnictwa jest globalizacja. </w:t>
      </w:r>
    </w:p>
    <w:p w:rsidR="009745BC" w:rsidRDefault="00440856"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Podstawowa s</w:t>
      </w:r>
      <w:r w:rsidR="00DD4395" w:rsidRPr="00D123AA">
        <w:rPr>
          <w:rFonts w:ascii="Times New Roman" w:hAnsi="Times New Roman" w:cs="Times New Roman"/>
          <w:sz w:val="24"/>
          <w:szCs w:val="24"/>
        </w:rPr>
        <w:t>zansa sfery ekonomicznej to wykorzystanie funduszy pomocowych UE</w:t>
      </w:r>
      <w:r>
        <w:rPr>
          <w:rFonts w:ascii="Times New Roman" w:hAnsi="Times New Roman" w:cs="Times New Roman"/>
          <w:sz w:val="24"/>
          <w:szCs w:val="24"/>
        </w:rPr>
        <w:t xml:space="preserve"> w nowym rozdaniu na lata 2014-20120</w:t>
      </w:r>
      <w:r w:rsidR="00DD4395" w:rsidRPr="00D123AA">
        <w:rPr>
          <w:rFonts w:ascii="Times New Roman" w:hAnsi="Times New Roman" w:cs="Times New Roman"/>
          <w:sz w:val="24"/>
          <w:szCs w:val="24"/>
        </w:rPr>
        <w:t xml:space="preserve">. </w:t>
      </w:r>
      <w:r>
        <w:rPr>
          <w:rFonts w:ascii="Times New Roman" w:hAnsi="Times New Roman" w:cs="Times New Roman"/>
          <w:sz w:val="24"/>
          <w:szCs w:val="24"/>
        </w:rPr>
        <w:t xml:space="preserve">Po długich negocjacjach przyznane Polsce środki są wyższe od </w:t>
      </w:r>
      <w:r w:rsidR="009745BC">
        <w:rPr>
          <w:rFonts w:ascii="Times New Roman" w:hAnsi="Times New Roman" w:cs="Times New Roman"/>
          <w:sz w:val="24"/>
          <w:szCs w:val="24"/>
        </w:rPr>
        <w:t xml:space="preserve">poprzednich. Jak te szanse i możliwości </w:t>
      </w:r>
      <w:r w:rsidR="00E348C3">
        <w:rPr>
          <w:rFonts w:ascii="Times New Roman" w:hAnsi="Times New Roman" w:cs="Times New Roman"/>
          <w:sz w:val="24"/>
          <w:szCs w:val="24"/>
        </w:rPr>
        <w:t>wykorzystają polskie wydawnictwa</w:t>
      </w:r>
      <w:r w:rsidR="009745BC">
        <w:rPr>
          <w:rFonts w:ascii="Times New Roman" w:hAnsi="Times New Roman" w:cs="Times New Roman"/>
          <w:sz w:val="24"/>
          <w:szCs w:val="24"/>
        </w:rPr>
        <w:t xml:space="preserve">? Mówienie o szansach w kontekście światowego kryzysu gospodarczo-finansowego może być źle </w:t>
      </w:r>
      <w:r w:rsidR="001813A3">
        <w:rPr>
          <w:rFonts w:ascii="Times New Roman" w:hAnsi="Times New Roman" w:cs="Times New Roman"/>
          <w:sz w:val="24"/>
          <w:szCs w:val="24"/>
        </w:rPr>
        <w:t>zrozumiane</w:t>
      </w:r>
      <w:r w:rsidR="009745BC">
        <w:rPr>
          <w:rFonts w:ascii="Times New Roman" w:hAnsi="Times New Roman" w:cs="Times New Roman"/>
          <w:sz w:val="24"/>
          <w:szCs w:val="24"/>
        </w:rPr>
        <w:t xml:space="preserve">, ale to </w:t>
      </w:r>
      <w:r w:rsidR="00455332">
        <w:rPr>
          <w:rFonts w:ascii="Times New Roman" w:hAnsi="Times New Roman" w:cs="Times New Roman"/>
          <w:sz w:val="24"/>
          <w:szCs w:val="24"/>
        </w:rPr>
        <w:t>również</w:t>
      </w:r>
      <w:r w:rsidR="009745BC">
        <w:rPr>
          <w:rFonts w:ascii="Times New Roman" w:hAnsi="Times New Roman" w:cs="Times New Roman"/>
          <w:sz w:val="24"/>
          <w:szCs w:val="24"/>
        </w:rPr>
        <w:t xml:space="preserve"> jest szansa. Trudniejsze warunki prowadzenia firm powodują często, że dokonywane są w nich </w:t>
      </w:r>
      <w:r w:rsidR="00455332">
        <w:rPr>
          <w:rFonts w:ascii="Times New Roman" w:hAnsi="Times New Roman" w:cs="Times New Roman"/>
          <w:sz w:val="24"/>
          <w:szCs w:val="24"/>
        </w:rPr>
        <w:t xml:space="preserve">wymuszone </w:t>
      </w:r>
      <w:r w:rsidR="009745BC">
        <w:rPr>
          <w:rFonts w:ascii="Times New Roman" w:hAnsi="Times New Roman" w:cs="Times New Roman"/>
          <w:sz w:val="24"/>
          <w:szCs w:val="24"/>
        </w:rPr>
        <w:t>zmiany w zakresie zarządzania i optymalizacji</w:t>
      </w:r>
      <w:r w:rsidR="00455332">
        <w:rPr>
          <w:rFonts w:ascii="Times New Roman" w:hAnsi="Times New Roman" w:cs="Times New Roman"/>
          <w:sz w:val="24"/>
          <w:szCs w:val="24"/>
        </w:rPr>
        <w:t xml:space="preserve"> produkcji, które wzmacniają te firmy.</w:t>
      </w:r>
      <w:r w:rsidR="009745BC">
        <w:rPr>
          <w:rFonts w:ascii="Times New Roman" w:hAnsi="Times New Roman" w:cs="Times New Roman"/>
          <w:sz w:val="24"/>
          <w:szCs w:val="24"/>
        </w:rPr>
        <w:t xml:space="preserve"> Trzecią istotną szansą w tej sferze są inwestycje zagraniczne w Polsce. Polska jest bardzo dobrze postrzegana jako kraj do inwestycji, </w:t>
      </w:r>
      <w:r w:rsidR="003F418B">
        <w:rPr>
          <w:rFonts w:ascii="Times New Roman" w:hAnsi="Times New Roman" w:cs="Times New Roman"/>
          <w:sz w:val="24"/>
          <w:szCs w:val="24"/>
        </w:rPr>
        <w:t>co zawsze przynosi nowe zatrudnienie i know-how w sferach technologicznej i organizacyjnej.</w:t>
      </w:r>
    </w:p>
    <w:p w:rsidR="00585FE2" w:rsidRDefault="00DD4395" w:rsidP="00710B2C">
      <w:pPr>
        <w:pStyle w:val="Akapitzlist"/>
        <w:spacing w:line="360" w:lineRule="auto"/>
        <w:ind w:left="0" w:firstLine="360"/>
        <w:jc w:val="both"/>
        <w:rPr>
          <w:rFonts w:ascii="Times New Roman" w:hAnsi="Times New Roman" w:cs="Times New Roman"/>
          <w:sz w:val="24"/>
          <w:szCs w:val="24"/>
        </w:rPr>
      </w:pPr>
      <w:r w:rsidRPr="00D123AA">
        <w:rPr>
          <w:rFonts w:ascii="Times New Roman" w:hAnsi="Times New Roman" w:cs="Times New Roman"/>
          <w:sz w:val="24"/>
          <w:szCs w:val="24"/>
        </w:rPr>
        <w:t xml:space="preserve">W sferze społeczno-kulturowej </w:t>
      </w:r>
      <w:r w:rsidR="00AA2B44">
        <w:rPr>
          <w:rFonts w:ascii="Times New Roman" w:hAnsi="Times New Roman" w:cs="Times New Roman"/>
          <w:sz w:val="24"/>
          <w:szCs w:val="24"/>
        </w:rPr>
        <w:t xml:space="preserve">bardzo istotnym czynnikiem jest komunikacja społeczna sprzyjająca rozwojowi gospodarczemu, </w:t>
      </w:r>
      <w:r w:rsidR="00E348C3">
        <w:rPr>
          <w:rFonts w:ascii="Times New Roman" w:hAnsi="Times New Roman" w:cs="Times New Roman"/>
          <w:sz w:val="24"/>
          <w:szCs w:val="24"/>
        </w:rPr>
        <w:t>rozwojowi kulturalnemu</w:t>
      </w:r>
      <w:r w:rsidR="00AA2B44">
        <w:rPr>
          <w:rFonts w:ascii="Times New Roman" w:hAnsi="Times New Roman" w:cs="Times New Roman"/>
          <w:sz w:val="24"/>
          <w:szCs w:val="24"/>
        </w:rPr>
        <w:t xml:space="preserve">. Wykorzystywanie </w:t>
      </w:r>
      <w:r w:rsidR="00585FE2">
        <w:rPr>
          <w:rFonts w:ascii="Times New Roman" w:hAnsi="Times New Roman" w:cs="Times New Roman"/>
          <w:sz w:val="24"/>
          <w:szCs w:val="24"/>
        </w:rPr>
        <w:t xml:space="preserve">mobilnych technologii w zakresie komunikacji i informacji oraz korzystania z portali społecznościowych również do sprzedaży usług i produktów jest dużą szansą dla </w:t>
      </w:r>
      <w:r w:rsidR="00E348C3">
        <w:rPr>
          <w:rFonts w:ascii="Times New Roman" w:hAnsi="Times New Roman" w:cs="Times New Roman"/>
          <w:sz w:val="24"/>
          <w:szCs w:val="24"/>
        </w:rPr>
        <w:t xml:space="preserve">polskiej </w:t>
      </w:r>
      <w:r w:rsidR="00585FE2">
        <w:rPr>
          <w:rFonts w:ascii="Times New Roman" w:hAnsi="Times New Roman" w:cs="Times New Roman"/>
          <w:sz w:val="24"/>
          <w:szCs w:val="24"/>
        </w:rPr>
        <w:t xml:space="preserve">gospodarki. Szansa wynikająca z </w:t>
      </w:r>
      <w:r w:rsidR="00FB66ED" w:rsidRPr="00D123AA">
        <w:rPr>
          <w:rFonts w:ascii="Times New Roman" w:hAnsi="Times New Roman" w:cs="Times New Roman"/>
          <w:sz w:val="24"/>
          <w:szCs w:val="24"/>
        </w:rPr>
        <w:t>wydłużenia okresu pracy kobiet i mężczyzn do 67 roku życia</w:t>
      </w:r>
      <w:r w:rsidR="00585FE2">
        <w:rPr>
          <w:rFonts w:ascii="Times New Roman" w:hAnsi="Times New Roman" w:cs="Times New Roman"/>
          <w:sz w:val="24"/>
          <w:szCs w:val="24"/>
        </w:rPr>
        <w:t xml:space="preserve"> będzie możliwa do wykorzystania dopiero za parę lat, szczególnie gdy okres dochodzenia do wieku emerytalnego kobiet będzie trwał ponad 20 lat.</w:t>
      </w:r>
    </w:p>
    <w:p w:rsidR="00DD4395" w:rsidRPr="00D123AA" w:rsidRDefault="000D2A60" w:rsidP="00710B2C">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Sfera technologiczna wzmacnia szanse wynikające ze stosowania mobilnych urządzeń komunikacji. Rozwój sprzętowy i programowy pozwala prowadzić firmy w zasadzie z dowolnego miejsca na ziemi. Wyposażenie w komputery oraz systemy informatyczne na świecie, </w:t>
      </w:r>
      <w:r w:rsidR="001813A3">
        <w:rPr>
          <w:rFonts w:ascii="Times New Roman" w:hAnsi="Times New Roman" w:cs="Times New Roman"/>
          <w:sz w:val="24"/>
          <w:szCs w:val="24"/>
        </w:rPr>
        <w:t>także</w:t>
      </w:r>
      <w:r>
        <w:rPr>
          <w:rFonts w:ascii="Times New Roman" w:hAnsi="Times New Roman" w:cs="Times New Roman"/>
          <w:sz w:val="24"/>
          <w:szCs w:val="24"/>
        </w:rPr>
        <w:t xml:space="preserve"> w Polsce</w:t>
      </w:r>
      <w:r w:rsidR="001813A3">
        <w:rPr>
          <w:rFonts w:ascii="Times New Roman" w:hAnsi="Times New Roman" w:cs="Times New Roman"/>
          <w:sz w:val="24"/>
          <w:szCs w:val="24"/>
        </w:rPr>
        <w:t>,</w:t>
      </w:r>
      <w:r>
        <w:rPr>
          <w:rFonts w:ascii="Times New Roman" w:hAnsi="Times New Roman" w:cs="Times New Roman"/>
          <w:sz w:val="24"/>
          <w:szCs w:val="24"/>
        </w:rPr>
        <w:t xml:space="preserve"> w firmach osiągnęło prawie pełne nasycenie. Korzystanie z </w:t>
      </w:r>
      <w:r w:rsidR="00E348C3">
        <w:rPr>
          <w:rFonts w:ascii="Times New Roman" w:hAnsi="Times New Roman" w:cs="Times New Roman"/>
          <w:sz w:val="24"/>
          <w:szCs w:val="24"/>
        </w:rPr>
        <w:t>i</w:t>
      </w:r>
      <w:r>
        <w:rPr>
          <w:rFonts w:ascii="Times New Roman" w:hAnsi="Times New Roman" w:cs="Times New Roman"/>
          <w:sz w:val="24"/>
          <w:szCs w:val="24"/>
        </w:rPr>
        <w:t xml:space="preserve">nternetu </w:t>
      </w:r>
      <w:r>
        <w:rPr>
          <w:rFonts w:ascii="Times New Roman" w:hAnsi="Times New Roman" w:cs="Times New Roman"/>
          <w:sz w:val="24"/>
          <w:szCs w:val="24"/>
        </w:rPr>
        <w:lastRenderedPageBreak/>
        <w:t xml:space="preserve">nie tylko do komunikowania się, ale również w procesach marketingowych i produkcyjnych jest praktyką dnia codziennego. </w:t>
      </w:r>
      <w:r w:rsidR="00E348C3">
        <w:rPr>
          <w:rFonts w:ascii="Times New Roman" w:hAnsi="Times New Roman" w:cs="Times New Roman"/>
          <w:sz w:val="24"/>
          <w:szCs w:val="24"/>
        </w:rPr>
        <w:t>Cyfryzacja zasobów kulturowych jest postrzegana jako szansa, ale również jako zagrożenie dla wydawnictw</w:t>
      </w:r>
      <w:r w:rsidR="007B5A4B">
        <w:rPr>
          <w:rFonts w:ascii="Times New Roman" w:hAnsi="Times New Roman" w:cs="Times New Roman"/>
          <w:sz w:val="24"/>
          <w:szCs w:val="24"/>
        </w:rPr>
        <w:t xml:space="preserve">. </w:t>
      </w:r>
    </w:p>
    <w:p w:rsidR="00DD4395" w:rsidRPr="00515262" w:rsidRDefault="00DD4395" w:rsidP="00710B2C">
      <w:pPr>
        <w:spacing w:line="360" w:lineRule="auto"/>
        <w:ind w:firstLine="360"/>
        <w:rPr>
          <w:rFonts w:ascii="Times New Roman" w:hAnsi="Times New Roman" w:cs="Times New Roman"/>
          <w:b/>
          <w:bCs/>
          <w:i/>
          <w:iCs/>
          <w:sz w:val="26"/>
          <w:szCs w:val="26"/>
        </w:rPr>
      </w:pPr>
      <w:r w:rsidRPr="00515262">
        <w:rPr>
          <w:rFonts w:ascii="Times New Roman" w:hAnsi="Times New Roman" w:cs="Times New Roman"/>
          <w:b/>
          <w:bCs/>
          <w:i/>
          <w:iCs/>
          <w:sz w:val="26"/>
          <w:szCs w:val="26"/>
        </w:rPr>
        <w:t>Zagrożenia:</w:t>
      </w:r>
    </w:p>
    <w:p w:rsidR="00DD4395" w:rsidRPr="00D123AA" w:rsidRDefault="004336AF" w:rsidP="00710B2C">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Sfera polityczna to w dalszym ciągu z</w:t>
      </w:r>
      <w:r w:rsidR="00DD4395" w:rsidRPr="00D123AA">
        <w:rPr>
          <w:rFonts w:ascii="Times New Roman" w:hAnsi="Times New Roman" w:cs="Times New Roman"/>
          <w:sz w:val="24"/>
          <w:szCs w:val="24"/>
        </w:rPr>
        <w:t xml:space="preserve">agrożenie </w:t>
      </w:r>
      <w:r>
        <w:rPr>
          <w:rFonts w:ascii="Times New Roman" w:hAnsi="Times New Roman" w:cs="Times New Roman"/>
          <w:sz w:val="24"/>
          <w:szCs w:val="24"/>
        </w:rPr>
        <w:t xml:space="preserve">możliwością dezintegracji lub co najmniej stagnacji procesów </w:t>
      </w:r>
      <w:r w:rsidR="008515BF">
        <w:rPr>
          <w:rFonts w:ascii="Times New Roman" w:hAnsi="Times New Roman" w:cs="Times New Roman"/>
          <w:sz w:val="24"/>
          <w:szCs w:val="24"/>
        </w:rPr>
        <w:t xml:space="preserve">integracyjnych </w:t>
      </w:r>
      <w:r>
        <w:rPr>
          <w:rFonts w:ascii="Times New Roman" w:hAnsi="Times New Roman" w:cs="Times New Roman"/>
          <w:sz w:val="24"/>
          <w:szCs w:val="24"/>
        </w:rPr>
        <w:t xml:space="preserve">w ramach UE. O ile </w:t>
      </w:r>
      <w:r w:rsidR="008515BF">
        <w:rPr>
          <w:rFonts w:ascii="Times New Roman" w:hAnsi="Times New Roman" w:cs="Times New Roman"/>
          <w:sz w:val="24"/>
          <w:szCs w:val="24"/>
        </w:rPr>
        <w:t xml:space="preserve">skutki tego zagrożenia są duże, to </w:t>
      </w:r>
      <w:r>
        <w:rPr>
          <w:rFonts w:ascii="Times New Roman" w:hAnsi="Times New Roman" w:cs="Times New Roman"/>
          <w:sz w:val="24"/>
          <w:szCs w:val="24"/>
        </w:rPr>
        <w:t xml:space="preserve">samo </w:t>
      </w:r>
      <w:r w:rsidR="008515BF">
        <w:rPr>
          <w:rFonts w:ascii="Times New Roman" w:hAnsi="Times New Roman" w:cs="Times New Roman"/>
          <w:sz w:val="24"/>
          <w:szCs w:val="24"/>
        </w:rPr>
        <w:t>wystąpienie zagrożenia jest chyba obecnie mniej prawdopodobne niż przed rokiem.</w:t>
      </w:r>
      <w:r w:rsidR="002F5CC9">
        <w:rPr>
          <w:rFonts w:ascii="Times New Roman" w:hAnsi="Times New Roman" w:cs="Times New Roman"/>
          <w:sz w:val="24"/>
          <w:szCs w:val="24"/>
        </w:rPr>
        <w:t xml:space="preserve"> </w:t>
      </w:r>
      <w:r w:rsidR="008515BF">
        <w:rPr>
          <w:rFonts w:ascii="Times New Roman" w:hAnsi="Times New Roman" w:cs="Times New Roman"/>
          <w:sz w:val="24"/>
          <w:szCs w:val="24"/>
        </w:rPr>
        <w:t>Wzrasta natomiast zagrożenie wynikające z terroryzmu oraz niepokojów społecznych w państwach arabskich, szczególnie Egipcie i Syrii.</w:t>
      </w:r>
      <w:r w:rsidR="00A30522">
        <w:rPr>
          <w:rFonts w:ascii="Times New Roman" w:hAnsi="Times New Roman" w:cs="Times New Roman"/>
          <w:sz w:val="24"/>
          <w:szCs w:val="24"/>
        </w:rPr>
        <w:t xml:space="preserve"> Dużym zagrożeniem będzie brak stosownych regulacji prawnych umożliwiających piractwo własności intelektualnej.</w:t>
      </w:r>
    </w:p>
    <w:p w:rsidR="00DD4395" w:rsidRPr="00D123AA" w:rsidRDefault="00DD4395" w:rsidP="00710B2C">
      <w:pPr>
        <w:pStyle w:val="Akapitzlist"/>
        <w:spacing w:line="360" w:lineRule="auto"/>
        <w:ind w:left="0" w:firstLine="360"/>
        <w:jc w:val="both"/>
        <w:rPr>
          <w:rFonts w:ascii="Times New Roman" w:hAnsi="Times New Roman" w:cs="Times New Roman"/>
          <w:sz w:val="24"/>
          <w:szCs w:val="24"/>
        </w:rPr>
      </w:pPr>
      <w:r w:rsidRPr="00D123AA">
        <w:rPr>
          <w:rFonts w:ascii="Times New Roman" w:hAnsi="Times New Roman" w:cs="Times New Roman"/>
          <w:sz w:val="24"/>
          <w:szCs w:val="24"/>
        </w:rPr>
        <w:t xml:space="preserve">W sferze ekonomicznej </w:t>
      </w:r>
      <w:r w:rsidR="00D45671" w:rsidRPr="00D123AA">
        <w:rPr>
          <w:rFonts w:ascii="Times New Roman" w:hAnsi="Times New Roman" w:cs="Times New Roman"/>
          <w:sz w:val="24"/>
          <w:szCs w:val="24"/>
        </w:rPr>
        <w:t xml:space="preserve">zagrożenia wynikają przede wszystkim z </w:t>
      </w:r>
      <w:r w:rsidR="008515BF">
        <w:rPr>
          <w:rFonts w:ascii="Times New Roman" w:hAnsi="Times New Roman" w:cs="Times New Roman"/>
          <w:sz w:val="24"/>
          <w:szCs w:val="24"/>
        </w:rPr>
        <w:t xml:space="preserve">braku pewności, czy obserwowane </w:t>
      </w:r>
      <w:r w:rsidR="002F5CC9">
        <w:rPr>
          <w:rFonts w:ascii="Times New Roman" w:hAnsi="Times New Roman" w:cs="Times New Roman"/>
          <w:sz w:val="24"/>
          <w:szCs w:val="24"/>
        </w:rPr>
        <w:t>zjawiska niewielkiego</w:t>
      </w:r>
      <w:r w:rsidR="008515BF">
        <w:rPr>
          <w:rFonts w:ascii="Times New Roman" w:hAnsi="Times New Roman" w:cs="Times New Roman"/>
          <w:sz w:val="24"/>
          <w:szCs w:val="24"/>
        </w:rPr>
        <w:t xml:space="preserve"> </w:t>
      </w:r>
      <w:r w:rsidR="00D45671" w:rsidRPr="00D123AA">
        <w:rPr>
          <w:rFonts w:ascii="Times New Roman" w:hAnsi="Times New Roman" w:cs="Times New Roman"/>
          <w:sz w:val="24"/>
          <w:szCs w:val="24"/>
        </w:rPr>
        <w:t>wzrostu gospodarczego</w:t>
      </w:r>
      <w:r w:rsidR="002F5CC9">
        <w:rPr>
          <w:rFonts w:ascii="Times New Roman" w:hAnsi="Times New Roman" w:cs="Times New Roman"/>
          <w:sz w:val="24"/>
          <w:szCs w:val="24"/>
        </w:rPr>
        <w:t xml:space="preserve"> </w:t>
      </w:r>
      <w:r w:rsidR="001813A3">
        <w:rPr>
          <w:rFonts w:ascii="Times New Roman" w:hAnsi="Times New Roman" w:cs="Times New Roman"/>
          <w:sz w:val="24"/>
          <w:szCs w:val="24"/>
        </w:rPr>
        <w:t xml:space="preserve">na świecie i w Polsce </w:t>
      </w:r>
      <w:r w:rsidR="008515BF">
        <w:rPr>
          <w:rFonts w:ascii="Times New Roman" w:hAnsi="Times New Roman" w:cs="Times New Roman"/>
          <w:sz w:val="24"/>
          <w:szCs w:val="24"/>
        </w:rPr>
        <w:t>mają tendencję trwałą</w:t>
      </w:r>
      <w:r w:rsidR="00B75125">
        <w:rPr>
          <w:rFonts w:ascii="Times New Roman" w:hAnsi="Times New Roman" w:cs="Times New Roman"/>
          <w:sz w:val="24"/>
          <w:szCs w:val="24"/>
        </w:rPr>
        <w:t>.</w:t>
      </w:r>
      <w:r w:rsidR="002F5CC9">
        <w:rPr>
          <w:rFonts w:ascii="Times New Roman" w:hAnsi="Times New Roman" w:cs="Times New Roman"/>
          <w:sz w:val="24"/>
          <w:szCs w:val="24"/>
        </w:rPr>
        <w:t xml:space="preserve"> </w:t>
      </w:r>
      <w:r w:rsidR="001813A3">
        <w:rPr>
          <w:rFonts w:ascii="Times New Roman" w:hAnsi="Times New Roman" w:cs="Times New Roman"/>
          <w:sz w:val="24"/>
          <w:szCs w:val="24"/>
        </w:rPr>
        <w:t xml:space="preserve">Zagrożeniem jest brak </w:t>
      </w:r>
      <w:r w:rsidR="00AD5AA7">
        <w:rPr>
          <w:rFonts w:ascii="Times New Roman" w:hAnsi="Times New Roman" w:cs="Times New Roman"/>
          <w:sz w:val="24"/>
          <w:szCs w:val="24"/>
        </w:rPr>
        <w:t xml:space="preserve">obecnie </w:t>
      </w:r>
      <w:r w:rsidR="001813A3">
        <w:rPr>
          <w:rFonts w:ascii="Times New Roman" w:hAnsi="Times New Roman" w:cs="Times New Roman"/>
          <w:sz w:val="24"/>
          <w:szCs w:val="24"/>
        </w:rPr>
        <w:t xml:space="preserve">dostatecznego </w:t>
      </w:r>
      <w:r w:rsidR="00380095" w:rsidRPr="00D123AA">
        <w:rPr>
          <w:rFonts w:ascii="Times New Roman" w:hAnsi="Times New Roman" w:cs="Times New Roman"/>
          <w:sz w:val="24"/>
          <w:szCs w:val="24"/>
        </w:rPr>
        <w:t>popyt</w:t>
      </w:r>
      <w:r w:rsidR="001813A3">
        <w:rPr>
          <w:rFonts w:ascii="Times New Roman" w:hAnsi="Times New Roman" w:cs="Times New Roman"/>
          <w:sz w:val="24"/>
          <w:szCs w:val="24"/>
        </w:rPr>
        <w:t>u</w:t>
      </w:r>
      <w:r w:rsidR="00380095" w:rsidRPr="00D123AA">
        <w:rPr>
          <w:rFonts w:ascii="Times New Roman" w:hAnsi="Times New Roman" w:cs="Times New Roman"/>
          <w:sz w:val="24"/>
          <w:szCs w:val="24"/>
        </w:rPr>
        <w:t xml:space="preserve"> wewnętrzn</w:t>
      </w:r>
      <w:r w:rsidR="001813A3">
        <w:rPr>
          <w:rFonts w:ascii="Times New Roman" w:hAnsi="Times New Roman" w:cs="Times New Roman"/>
          <w:sz w:val="24"/>
          <w:szCs w:val="24"/>
        </w:rPr>
        <w:t>ego</w:t>
      </w:r>
      <w:r w:rsidR="00AD5AA7">
        <w:rPr>
          <w:rFonts w:ascii="Times New Roman" w:hAnsi="Times New Roman" w:cs="Times New Roman"/>
          <w:sz w:val="24"/>
          <w:szCs w:val="24"/>
        </w:rPr>
        <w:t xml:space="preserve"> i czy</w:t>
      </w:r>
      <w:r w:rsidR="001813A3">
        <w:rPr>
          <w:rFonts w:ascii="Times New Roman" w:hAnsi="Times New Roman" w:cs="Times New Roman"/>
          <w:sz w:val="24"/>
          <w:szCs w:val="24"/>
        </w:rPr>
        <w:t xml:space="preserve"> </w:t>
      </w:r>
      <w:r w:rsidR="00AD5AA7">
        <w:rPr>
          <w:rFonts w:ascii="Times New Roman" w:hAnsi="Times New Roman" w:cs="Times New Roman"/>
          <w:sz w:val="24"/>
          <w:szCs w:val="24"/>
        </w:rPr>
        <w:t xml:space="preserve">nie za </w:t>
      </w:r>
      <w:r w:rsidR="001813A3">
        <w:rPr>
          <w:rFonts w:ascii="Times New Roman" w:hAnsi="Times New Roman" w:cs="Times New Roman"/>
          <w:sz w:val="24"/>
          <w:szCs w:val="24"/>
        </w:rPr>
        <w:t>długo potrwa jego odbudowywanie do sytuacji gdy był jednym z ważniejszych czynników wzrostu gospodarczego Polski. I związany z tym następny czynnik, czyli bezrobocie. Utrzymywanie się be</w:t>
      </w:r>
      <w:r w:rsidR="00567F66">
        <w:rPr>
          <w:rFonts w:ascii="Times New Roman" w:hAnsi="Times New Roman" w:cs="Times New Roman"/>
          <w:sz w:val="24"/>
          <w:szCs w:val="24"/>
        </w:rPr>
        <w:t>zrobocia na poziomie powyżej 13 proc.</w:t>
      </w:r>
      <w:r w:rsidR="001813A3">
        <w:rPr>
          <w:rFonts w:ascii="Times New Roman" w:hAnsi="Times New Roman" w:cs="Times New Roman"/>
          <w:sz w:val="24"/>
          <w:szCs w:val="24"/>
        </w:rPr>
        <w:t xml:space="preserve"> w dłuższym okresie jest istotnym zagrożeniem.</w:t>
      </w:r>
    </w:p>
    <w:p w:rsidR="00DD4395" w:rsidRDefault="00DD4395" w:rsidP="00710B2C">
      <w:pPr>
        <w:pStyle w:val="Akapitzlist"/>
        <w:spacing w:line="360" w:lineRule="auto"/>
        <w:ind w:left="0" w:firstLine="360"/>
        <w:jc w:val="both"/>
        <w:rPr>
          <w:rFonts w:ascii="Times New Roman" w:hAnsi="Times New Roman" w:cs="Times New Roman"/>
          <w:sz w:val="24"/>
          <w:szCs w:val="24"/>
        </w:rPr>
      </w:pPr>
      <w:r w:rsidRPr="00D123AA">
        <w:rPr>
          <w:rFonts w:ascii="Times New Roman" w:hAnsi="Times New Roman" w:cs="Times New Roman"/>
          <w:sz w:val="24"/>
          <w:szCs w:val="24"/>
        </w:rPr>
        <w:t xml:space="preserve">W sferze społeczno-kulturowej </w:t>
      </w:r>
      <w:r w:rsidR="0028058D" w:rsidRPr="00D123AA">
        <w:rPr>
          <w:rFonts w:ascii="Times New Roman" w:hAnsi="Times New Roman" w:cs="Times New Roman"/>
          <w:sz w:val="24"/>
          <w:szCs w:val="24"/>
        </w:rPr>
        <w:t xml:space="preserve">zagrożeniem </w:t>
      </w:r>
      <w:r w:rsidR="001813A3">
        <w:rPr>
          <w:rFonts w:ascii="Times New Roman" w:hAnsi="Times New Roman" w:cs="Times New Roman"/>
          <w:sz w:val="24"/>
          <w:szCs w:val="24"/>
        </w:rPr>
        <w:t>podstawowym jest struktura demograficzna, która powoduje ujemny przyrost naturalny. Zagrożenie to jest w perspektywie długo</w:t>
      </w:r>
      <w:r w:rsidR="00F4241B">
        <w:rPr>
          <w:rFonts w:ascii="Times New Roman" w:hAnsi="Times New Roman" w:cs="Times New Roman"/>
          <w:sz w:val="24"/>
          <w:szCs w:val="24"/>
        </w:rPr>
        <w:t>terminowej</w:t>
      </w:r>
      <w:r w:rsidR="001813A3">
        <w:rPr>
          <w:rFonts w:ascii="Times New Roman" w:hAnsi="Times New Roman" w:cs="Times New Roman"/>
          <w:sz w:val="24"/>
          <w:szCs w:val="24"/>
        </w:rPr>
        <w:t xml:space="preserve">, ale </w:t>
      </w:r>
      <w:r w:rsidR="00F4241B">
        <w:rPr>
          <w:rFonts w:ascii="Times New Roman" w:hAnsi="Times New Roman" w:cs="Times New Roman"/>
          <w:sz w:val="24"/>
          <w:szCs w:val="24"/>
        </w:rPr>
        <w:t>wydaje się nieuchronnym, szczególnie jeszcze wzmacniane emigracją młodych ludzi. Z tym czynnikiem związany jest następny czynnik zagrożenia, to jest struktura zatrudnienia, zmniejsza się liczba osób pracujących, a zwiększanie liczba osób w wieku poprodukcyjnym. Jest to również perspektywa raczej nieuchronna ze względu na wchodzenie w wiek poprodukcyjny największego wyżu demograficznego z lat pięćdziesiątych</w:t>
      </w:r>
      <w:r w:rsidR="00AD5AA7">
        <w:rPr>
          <w:rFonts w:ascii="Times New Roman" w:hAnsi="Times New Roman" w:cs="Times New Roman"/>
          <w:sz w:val="24"/>
          <w:szCs w:val="24"/>
        </w:rPr>
        <w:t xml:space="preserve"> ubiegłego wieku</w:t>
      </w:r>
      <w:r w:rsidR="00F4241B">
        <w:rPr>
          <w:rFonts w:ascii="Times New Roman" w:hAnsi="Times New Roman" w:cs="Times New Roman"/>
          <w:sz w:val="24"/>
          <w:szCs w:val="24"/>
        </w:rPr>
        <w:t>.</w:t>
      </w:r>
    </w:p>
    <w:p w:rsidR="00BE7FBF" w:rsidRPr="00D123AA" w:rsidRDefault="00BE7FBF" w:rsidP="00710B2C">
      <w:pPr>
        <w:pStyle w:val="Akapitzlist"/>
        <w:spacing w:line="360" w:lineRule="auto"/>
        <w:ind w:left="0" w:firstLine="360"/>
        <w:jc w:val="both"/>
        <w:rPr>
          <w:rFonts w:ascii="Times New Roman" w:hAnsi="Times New Roman" w:cs="Times New Roman"/>
          <w:sz w:val="24"/>
          <w:szCs w:val="24"/>
        </w:rPr>
      </w:pPr>
    </w:p>
    <w:p w:rsidR="00EE18FD" w:rsidRPr="00D123AA" w:rsidRDefault="009F0178" w:rsidP="00710B2C">
      <w:pPr>
        <w:pStyle w:val="Akapitzlist"/>
        <w:spacing w:line="360" w:lineRule="auto"/>
        <w:ind w:left="0" w:firstLine="360"/>
        <w:jc w:val="both"/>
        <w:rPr>
          <w:rFonts w:ascii="Times New Roman" w:hAnsi="Times New Roman" w:cs="Times New Roman"/>
          <w:sz w:val="24"/>
          <w:szCs w:val="24"/>
        </w:rPr>
      </w:pPr>
      <w:r w:rsidRPr="00D123AA">
        <w:rPr>
          <w:rFonts w:ascii="Times New Roman" w:hAnsi="Times New Roman" w:cs="Times New Roman"/>
          <w:sz w:val="24"/>
          <w:szCs w:val="24"/>
        </w:rPr>
        <w:lastRenderedPageBreak/>
        <w:t xml:space="preserve">Zagrożenia sfery technologicznej </w:t>
      </w:r>
      <w:r w:rsidR="00F4241B">
        <w:rPr>
          <w:rFonts w:ascii="Times New Roman" w:hAnsi="Times New Roman" w:cs="Times New Roman"/>
          <w:sz w:val="24"/>
          <w:szCs w:val="24"/>
        </w:rPr>
        <w:t>wiążą się z czynnikiem wymienianym też jako szansa, zagrożenie powstanie</w:t>
      </w:r>
      <w:r w:rsidR="00B15A48">
        <w:rPr>
          <w:rFonts w:ascii="Times New Roman" w:hAnsi="Times New Roman" w:cs="Times New Roman"/>
          <w:sz w:val="24"/>
          <w:szCs w:val="24"/>
        </w:rPr>
        <w:t>,</w:t>
      </w:r>
      <w:r w:rsidR="00F4241B">
        <w:rPr>
          <w:rFonts w:ascii="Times New Roman" w:hAnsi="Times New Roman" w:cs="Times New Roman"/>
          <w:sz w:val="24"/>
          <w:szCs w:val="24"/>
        </w:rPr>
        <w:t xml:space="preserve"> jeżeli sprawdzi się wariant pesymistyczny w wydatkach na B+R. Polska jest w ogonie krajów pod względem</w:t>
      </w:r>
      <w:r w:rsidR="007B5A4B">
        <w:rPr>
          <w:rFonts w:ascii="Times New Roman" w:hAnsi="Times New Roman" w:cs="Times New Roman"/>
          <w:sz w:val="24"/>
          <w:szCs w:val="24"/>
        </w:rPr>
        <w:t xml:space="preserve"> przeznaczania środków na naukę</w:t>
      </w:r>
      <w:r w:rsidR="008F22AE">
        <w:rPr>
          <w:rFonts w:ascii="Times New Roman" w:hAnsi="Times New Roman" w:cs="Times New Roman"/>
          <w:sz w:val="24"/>
          <w:szCs w:val="24"/>
        </w:rPr>
        <w:t xml:space="preserve">. </w:t>
      </w:r>
      <w:r w:rsidR="00AC0843">
        <w:rPr>
          <w:rFonts w:ascii="Times New Roman" w:hAnsi="Times New Roman" w:cs="Times New Roman"/>
          <w:sz w:val="24"/>
          <w:szCs w:val="24"/>
        </w:rPr>
        <w:t>Rozwój technologiczny będzie z</w:t>
      </w:r>
      <w:r w:rsidR="007B5A4B">
        <w:rPr>
          <w:rFonts w:ascii="Times New Roman" w:hAnsi="Times New Roman" w:cs="Times New Roman"/>
          <w:sz w:val="24"/>
          <w:szCs w:val="24"/>
        </w:rPr>
        <w:t>agrożeniem dla wydawnictw</w:t>
      </w:r>
      <w:r w:rsidR="00BE7FBF">
        <w:rPr>
          <w:rFonts w:ascii="Times New Roman" w:hAnsi="Times New Roman" w:cs="Times New Roman"/>
          <w:sz w:val="24"/>
          <w:szCs w:val="24"/>
        </w:rPr>
        <w:t>,</w:t>
      </w:r>
      <w:r w:rsidR="007B5A4B">
        <w:rPr>
          <w:rFonts w:ascii="Times New Roman" w:hAnsi="Times New Roman" w:cs="Times New Roman"/>
          <w:sz w:val="24"/>
          <w:szCs w:val="24"/>
        </w:rPr>
        <w:t xml:space="preserve"> jeżeli nie włączą się </w:t>
      </w:r>
      <w:r w:rsidR="00AD5AA7">
        <w:rPr>
          <w:rFonts w:ascii="Times New Roman" w:hAnsi="Times New Roman" w:cs="Times New Roman"/>
          <w:sz w:val="24"/>
          <w:szCs w:val="24"/>
        </w:rPr>
        <w:t xml:space="preserve">one </w:t>
      </w:r>
      <w:r w:rsidR="007B5A4B">
        <w:rPr>
          <w:rFonts w:ascii="Times New Roman" w:hAnsi="Times New Roman" w:cs="Times New Roman"/>
          <w:sz w:val="24"/>
          <w:szCs w:val="24"/>
        </w:rPr>
        <w:t xml:space="preserve">w </w:t>
      </w:r>
      <w:r w:rsidR="00AC0843">
        <w:rPr>
          <w:rFonts w:ascii="Times New Roman" w:hAnsi="Times New Roman" w:cs="Times New Roman"/>
          <w:sz w:val="24"/>
          <w:szCs w:val="24"/>
        </w:rPr>
        <w:t>e-media, w nowe</w:t>
      </w:r>
      <w:r w:rsidR="00BE7FBF">
        <w:rPr>
          <w:rFonts w:ascii="Times New Roman" w:hAnsi="Times New Roman" w:cs="Times New Roman"/>
          <w:sz w:val="24"/>
          <w:szCs w:val="24"/>
        </w:rPr>
        <w:t xml:space="preserve"> idee, co nie oznacza porzucenia</w:t>
      </w:r>
      <w:r w:rsidR="00AC0843">
        <w:rPr>
          <w:rFonts w:ascii="Times New Roman" w:hAnsi="Times New Roman" w:cs="Times New Roman"/>
          <w:sz w:val="24"/>
          <w:szCs w:val="24"/>
        </w:rPr>
        <w:t xml:space="preserve"> tradycyjnej książki.</w:t>
      </w:r>
    </w:p>
    <w:p w:rsidR="00DD4395" w:rsidRPr="00D123AA" w:rsidRDefault="00962E5C" w:rsidP="00332277">
      <w:pPr>
        <w:pStyle w:val="Akapitzlist"/>
        <w:numPr>
          <w:ilvl w:val="2"/>
          <w:numId w:val="28"/>
        </w:numPr>
        <w:spacing w:line="360" w:lineRule="auto"/>
        <w:ind w:left="1985" w:hanging="851"/>
        <w:jc w:val="both"/>
        <w:rPr>
          <w:rFonts w:ascii="Times New Roman" w:hAnsi="Times New Roman" w:cs="Times New Roman"/>
          <w:sz w:val="24"/>
          <w:szCs w:val="24"/>
        </w:rPr>
      </w:pPr>
      <w:r>
        <w:rPr>
          <w:rFonts w:ascii="Times New Roman" w:hAnsi="Times New Roman" w:cs="Times New Roman"/>
          <w:sz w:val="24"/>
          <w:szCs w:val="24"/>
        </w:rPr>
        <w:t>Punktowa ocena czynników zewnętrznych sektora</w:t>
      </w:r>
    </w:p>
    <w:p w:rsidR="00E83292" w:rsidRPr="00D123AA" w:rsidRDefault="00E83292" w:rsidP="00710B2C">
      <w:pPr>
        <w:pStyle w:val="Akapitzlist"/>
        <w:spacing w:line="360" w:lineRule="auto"/>
        <w:ind w:left="0" w:firstLine="360"/>
        <w:jc w:val="both"/>
        <w:rPr>
          <w:rFonts w:ascii="Times New Roman" w:hAnsi="Times New Roman" w:cs="Times New Roman"/>
          <w:sz w:val="24"/>
          <w:szCs w:val="24"/>
        </w:rPr>
      </w:pPr>
      <w:r w:rsidRPr="00D123AA">
        <w:rPr>
          <w:rFonts w:ascii="Times New Roman" w:hAnsi="Times New Roman" w:cs="Times New Roman"/>
          <w:sz w:val="24"/>
          <w:szCs w:val="24"/>
        </w:rPr>
        <w:t xml:space="preserve">Metodą oceniającą makrootoczenie, ale również częściowo opisującą otoczenie konkurencyjne jest punktowa ocena czynników zewnętrznych, </w:t>
      </w:r>
      <w:r>
        <w:rPr>
          <w:rFonts w:ascii="Times New Roman" w:hAnsi="Times New Roman" w:cs="Times New Roman"/>
          <w:sz w:val="24"/>
          <w:szCs w:val="24"/>
        </w:rPr>
        <w:t>które mają</w:t>
      </w:r>
      <w:r w:rsidRPr="00D123AA">
        <w:rPr>
          <w:rFonts w:ascii="Times New Roman" w:hAnsi="Times New Roman" w:cs="Times New Roman"/>
          <w:sz w:val="24"/>
          <w:szCs w:val="24"/>
        </w:rPr>
        <w:t xml:space="preserve"> wpływ na </w:t>
      </w:r>
      <w:r>
        <w:rPr>
          <w:rFonts w:ascii="Times New Roman" w:hAnsi="Times New Roman" w:cs="Times New Roman"/>
          <w:sz w:val="24"/>
          <w:szCs w:val="24"/>
        </w:rPr>
        <w:t>rynek wydawniczy</w:t>
      </w:r>
      <w:r w:rsidRPr="00D123AA">
        <w:rPr>
          <w:rFonts w:ascii="Times New Roman" w:hAnsi="Times New Roman" w:cs="Times New Roman"/>
          <w:sz w:val="24"/>
          <w:szCs w:val="24"/>
        </w:rPr>
        <w:t>.</w:t>
      </w:r>
    </w:p>
    <w:p w:rsidR="00E83292" w:rsidRPr="00913E44" w:rsidRDefault="00E83292" w:rsidP="00E83292">
      <w:pPr>
        <w:pStyle w:val="Akapitzlist"/>
        <w:ind w:left="360"/>
        <w:rPr>
          <w:rFonts w:ascii="Times New Roman" w:hAnsi="Times New Roman" w:cs="Times New Roman"/>
          <w:b/>
          <w:sz w:val="24"/>
          <w:szCs w:val="24"/>
        </w:rPr>
      </w:pPr>
      <w:r w:rsidRPr="00913E44">
        <w:rPr>
          <w:rFonts w:ascii="Times New Roman" w:hAnsi="Times New Roman" w:cs="Times New Roman"/>
          <w:b/>
          <w:sz w:val="24"/>
          <w:szCs w:val="24"/>
        </w:rPr>
        <w:t>Punktowa ocena czynników zewnętrznych</w:t>
      </w:r>
    </w:p>
    <w:tbl>
      <w:tblPr>
        <w:tblW w:w="7820" w:type="dxa"/>
        <w:tblInd w:w="55" w:type="dxa"/>
        <w:tblCellMar>
          <w:left w:w="70" w:type="dxa"/>
          <w:right w:w="70" w:type="dxa"/>
        </w:tblCellMar>
        <w:tblLook w:val="04A0" w:firstRow="1" w:lastRow="0" w:firstColumn="1" w:lastColumn="0" w:noHBand="0" w:noVBand="1"/>
      </w:tblPr>
      <w:tblGrid>
        <w:gridCol w:w="5540"/>
        <w:gridCol w:w="760"/>
        <w:gridCol w:w="760"/>
        <w:gridCol w:w="785"/>
      </w:tblGrid>
      <w:tr w:rsidR="001130CF" w:rsidRPr="001130CF" w:rsidTr="001130CF">
        <w:trPr>
          <w:trHeight w:val="525"/>
        </w:trPr>
        <w:tc>
          <w:tcPr>
            <w:tcW w:w="5540" w:type="dxa"/>
            <w:tcBorders>
              <w:top w:val="single" w:sz="8" w:space="0" w:color="auto"/>
              <w:left w:val="single" w:sz="8" w:space="0" w:color="auto"/>
              <w:bottom w:val="single" w:sz="8" w:space="0" w:color="auto"/>
              <w:right w:val="nil"/>
            </w:tcBorders>
            <w:shd w:val="clear" w:color="auto" w:fill="auto"/>
            <w:vAlign w:val="center"/>
            <w:hideMark/>
          </w:tcPr>
          <w:p w:rsidR="001130CF" w:rsidRPr="001130CF" w:rsidRDefault="001130CF" w:rsidP="001130CF">
            <w:pPr>
              <w:spacing w:after="0" w:line="240" w:lineRule="auto"/>
              <w:jc w:val="center"/>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Kryteria oceny</w:t>
            </w:r>
          </w:p>
        </w:tc>
        <w:tc>
          <w:tcPr>
            <w:tcW w:w="760" w:type="dxa"/>
            <w:tcBorders>
              <w:top w:val="single" w:sz="8" w:space="0" w:color="auto"/>
              <w:left w:val="single" w:sz="4" w:space="0" w:color="auto"/>
              <w:bottom w:val="single" w:sz="8" w:space="0" w:color="auto"/>
              <w:right w:val="nil"/>
            </w:tcBorders>
            <w:shd w:val="clear" w:color="auto" w:fill="auto"/>
            <w:vAlign w:val="center"/>
            <w:hideMark/>
          </w:tcPr>
          <w:p w:rsidR="001130CF" w:rsidRPr="001130CF" w:rsidRDefault="001130CF" w:rsidP="001130CF">
            <w:pPr>
              <w:spacing w:after="0" w:line="240" w:lineRule="auto"/>
              <w:jc w:val="center"/>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Waga</w:t>
            </w:r>
          </w:p>
        </w:tc>
        <w:tc>
          <w:tcPr>
            <w:tcW w:w="760" w:type="dxa"/>
            <w:tcBorders>
              <w:top w:val="single" w:sz="8" w:space="0" w:color="auto"/>
              <w:left w:val="single" w:sz="4" w:space="0" w:color="auto"/>
              <w:bottom w:val="single" w:sz="8" w:space="0" w:color="auto"/>
              <w:right w:val="nil"/>
            </w:tcBorders>
            <w:shd w:val="clear" w:color="auto" w:fill="auto"/>
            <w:vAlign w:val="center"/>
            <w:hideMark/>
          </w:tcPr>
          <w:p w:rsidR="001130CF" w:rsidRPr="001130CF" w:rsidRDefault="001130CF" w:rsidP="001130CF">
            <w:pPr>
              <w:spacing w:after="0" w:line="240" w:lineRule="auto"/>
              <w:jc w:val="center"/>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Ocena (1-4)</w:t>
            </w:r>
          </w:p>
        </w:tc>
        <w:tc>
          <w:tcPr>
            <w:tcW w:w="7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130CF" w:rsidRPr="001130CF" w:rsidRDefault="001130CF" w:rsidP="001130CF">
            <w:pPr>
              <w:spacing w:after="0" w:line="240" w:lineRule="auto"/>
              <w:jc w:val="center"/>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Ocena ważona</w:t>
            </w:r>
          </w:p>
        </w:tc>
      </w:tr>
      <w:tr w:rsidR="001130CF" w:rsidRPr="001130CF" w:rsidTr="001130CF">
        <w:trPr>
          <w:trHeight w:val="255"/>
        </w:trPr>
        <w:tc>
          <w:tcPr>
            <w:tcW w:w="5540" w:type="dxa"/>
            <w:tcBorders>
              <w:top w:val="nil"/>
              <w:left w:val="single" w:sz="8" w:space="0" w:color="auto"/>
              <w:bottom w:val="nil"/>
              <w:right w:val="nil"/>
            </w:tcBorders>
            <w:shd w:val="clear" w:color="auto" w:fill="auto"/>
            <w:vAlign w:val="center"/>
            <w:hideMark/>
          </w:tcPr>
          <w:p w:rsidR="001130CF" w:rsidRPr="001130CF" w:rsidRDefault="001130CF" w:rsidP="001130CF">
            <w:pPr>
              <w:spacing w:after="0" w:line="240" w:lineRule="auto"/>
              <w:jc w:val="center"/>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Szanse</w:t>
            </w:r>
          </w:p>
        </w:tc>
        <w:tc>
          <w:tcPr>
            <w:tcW w:w="760" w:type="dxa"/>
            <w:tcBorders>
              <w:top w:val="nil"/>
              <w:left w:val="single" w:sz="4" w:space="0" w:color="auto"/>
              <w:bottom w:val="nil"/>
              <w:right w:val="nil"/>
            </w:tcBorders>
            <w:shd w:val="clear" w:color="auto" w:fill="auto"/>
            <w:vAlign w:val="center"/>
            <w:hideMark/>
          </w:tcPr>
          <w:p w:rsidR="001130CF" w:rsidRPr="001130CF" w:rsidRDefault="001130CF" w:rsidP="001130CF">
            <w:pPr>
              <w:spacing w:after="0" w:line="240" w:lineRule="auto"/>
              <w:jc w:val="center"/>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 </w:t>
            </w:r>
          </w:p>
        </w:tc>
        <w:tc>
          <w:tcPr>
            <w:tcW w:w="760" w:type="dxa"/>
            <w:tcBorders>
              <w:top w:val="nil"/>
              <w:left w:val="single" w:sz="4" w:space="0" w:color="auto"/>
              <w:bottom w:val="nil"/>
              <w:right w:val="nil"/>
            </w:tcBorders>
            <w:shd w:val="clear" w:color="auto" w:fill="auto"/>
            <w:vAlign w:val="center"/>
            <w:hideMark/>
          </w:tcPr>
          <w:p w:rsidR="001130CF" w:rsidRPr="001130CF" w:rsidRDefault="001130CF" w:rsidP="001130CF">
            <w:pPr>
              <w:spacing w:after="0" w:line="240" w:lineRule="auto"/>
              <w:jc w:val="center"/>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 </w:t>
            </w:r>
          </w:p>
        </w:tc>
        <w:tc>
          <w:tcPr>
            <w:tcW w:w="760" w:type="dxa"/>
            <w:tcBorders>
              <w:top w:val="nil"/>
              <w:left w:val="single" w:sz="4" w:space="0" w:color="auto"/>
              <w:bottom w:val="nil"/>
              <w:right w:val="single" w:sz="8" w:space="0" w:color="auto"/>
            </w:tcBorders>
            <w:shd w:val="clear" w:color="auto" w:fill="auto"/>
            <w:vAlign w:val="center"/>
            <w:hideMark/>
          </w:tcPr>
          <w:p w:rsidR="001130CF" w:rsidRPr="001130CF" w:rsidRDefault="001130CF" w:rsidP="001130CF">
            <w:pPr>
              <w:spacing w:after="0" w:line="240" w:lineRule="auto"/>
              <w:jc w:val="center"/>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 </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Informatyzacja społeczeństwa i gospodarki</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0,09</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4</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0,36</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Mobilne technologie komunikacji</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0,09</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4</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0,36</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Fundusze unijne w perspektywie 2014-2020</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0,07</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3</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0,21</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 xml:space="preserve">Konieczność optymalizacji działalności w kryzysie </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0,07</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2</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0,14</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Integracja w ramach UE</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0,05</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2</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0,10</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Wydłużenie okresu pracy do 67 lat</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0,05</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2</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0,10</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Elastyczny czas pracy</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1</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Globalizacja</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1</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Inwestycje zagraniczne w Polsce</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1</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 </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 </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 </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 </w:t>
            </w:r>
          </w:p>
        </w:tc>
      </w:tr>
      <w:tr w:rsidR="001130CF" w:rsidRPr="001130CF" w:rsidTr="001130CF">
        <w:trPr>
          <w:trHeight w:val="255"/>
        </w:trPr>
        <w:tc>
          <w:tcPr>
            <w:tcW w:w="5540" w:type="dxa"/>
            <w:tcBorders>
              <w:top w:val="nil"/>
              <w:left w:val="single" w:sz="8" w:space="0" w:color="auto"/>
              <w:bottom w:val="nil"/>
              <w:right w:val="nil"/>
            </w:tcBorders>
            <w:shd w:val="clear" w:color="auto" w:fill="auto"/>
            <w:vAlign w:val="center"/>
            <w:hideMark/>
          </w:tcPr>
          <w:p w:rsidR="001130CF" w:rsidRPr="001130CF" w:rsidRDefault="001130CF" w:rsidP="001130CF">
            <w:pPr>
              <w:spacing w:after="0" w:line="240" w:lineRule="auto"/>
              <w:jc w:val="center"/>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Zagrożenia</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 </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color w:val="FF0000"/>
                <w:sz w:val="20"/>
                <w:szCs w:val="20"/>
                <w:lang w:eastAsia="pl-PL"/>
              </w:rPr>
            </w:pPr>
            <w:r w:rsidRPr="001130CF">
              <w:rPr>
                <w:rFonts w:ascii="Times New Roman" w:eastAsia="Times New Roman" w:hAnsi="Times New Roman" w:cs="Times New Roman"/>
                <w:color w:val="FF0000"/>
                <w:sz w:val="20"/>
                <w:szCs w:val="20"/>
                <w:lang w:eastAsia="pl-PL"/>
              </w:rPr>
              <w:t> </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 </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Brak ustaw ograniczających piractwo własności intelektualnej</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0,09</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4</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0,36</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Możliwość dezintegracji UE</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0,09</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4</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0,36</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 xml:space="preserve">Struktura zatrudnienia zmniejszająca odsetek pracujących </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0,07</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3</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0,21</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Obecna sytuacja demograficzna i niekorzystne tendencje</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0,07</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3</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0,21</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Brak popytu wewnętrznego, co spowalnia gospodarkę</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0,05</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2</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0,10</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Niestabilna sytuacja polityczna na świecie</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2</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0,06</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Nietrwałość trendu poprawy sytuacji gospodarczej Polski i UE</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2</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0,06</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Utrzymujące się duże bezrobocie</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1</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r>
      <w:tr w:rsidR="001130CF" w:rsidRPr="001130CF" w:rsidTr="001130CF">
        <w:trPr>
          <w:trHeight w:val="255"/>
        </w:trPr>
        <w:tc>
          <w:tcPr>
            <w:tcW w:w="5540" w:type="dxa"/>
            <w:tcBorders>
              <w:top w:val="nil"/>
              <w:left w:val="single" w:sz="8" w:space="0" w:color="auto"/>
              <w:bottom w:val="nil"/>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Niskie wydatki na B+R</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c>
          <w:tcPr>
            <w:tcW w:w="760" w:type="dxa"/>
            <w:tcBorders>
              <w:top w:val="nil"/>
              <w:left w:val="single" w:sz="4" w:space="0" w:color="auto"/>
              <w:bottom w:val="nil"/>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1</w:t>
            </w:r>
          </w:p>
        </w:tc>
        <w:tc>
          <w:tcPr>
            <w:tcW w:w="760" w:type="dxa"/>
            <w:tcBorders>
              <w:top w:val="nil"/>
              <w:left w:val="single" w:sz="4" w:space="0" w:color="auto"/>
              <w:bottom w:val="nil"/>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sz w:val="20"/>
                <w:szCs w:val="20"/>
                <w:lang w:eastAsia="pl-PL"/>
              </w:rPr>
            </w:pPr>
            <w:r w:rsidRPr="001130CF">
              <w:rPr>
                <w:rFonts w:ascii="Times New Roman" w:eastAsia="Times New Roman" w:hAnsi="Times New Roman" w:cs="Times New Roman"/>
                <w:sz w:val="20"/>
                <w:szCs w:val="20"/>
                <w:lang w:eastAsia="pl-PL"/>
              </w:rPr>
              <w:t>0,03</w:t>
            </w:r>
          </w:p>
        </w:tc>
      </w:tr>
      <w:tr w:rsidR="001130CF" w:rsidRPr="001130CF" w:rsidTr="001130CF">
        <w:trPr>
          <w:trHeight w:val="270"/>
        </w:trPr>
        <w:tc>
          <w:tcPr>
            <w:tcW w:w="5540" w:type="dxa"/>
            <w:tcBorders>
              <w:top w:val="nil"/>
              <w:left w:val="single" w:sz="8" w:space="0" w:color="auto"/>
              <w:bottom w:val="single" w:sz="8" w:space="0" w:color="auto"/>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Ogółem</w:t>
            </w:r>
          </w:p>
        </w:tc>
        <w:tc>
          <w:tcPr>
            <w:tcW w:w="760" w:type="dxa"/>
            <w:tcBorders>
              <w:top w:val="nil"/>
              <w:left w:val="single" w:sz="4" w:space="0" w:color="auto"/>
              <w:bottom w:val="single" w:sz="8" w:space="0" w:color="auto"/>
              <w:right w:val="nil"/>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1,00</w:t>
            </w:r>
          </w:p>
        </w:tc>
        <w:tc>
          <w:tcPr>
            <w:tcW w:w="760" w:type="dxa"/>
            <w:tcBorders>
              <w:top w:val="nil"/>
              <w:left w:val="single" w:sz="4" w:space="0" w:color="auto"/>
              <w:bottom w:val="single" w:sz="8" w:space="0" w:color="auto"/>
              <w:right w:val="nil"/>
            </w:tcBorders>
            <w:shd w:val="clear" w:color="auto" w:fill="auto"/>
            <w:noWrap/>
            <w:vAlign w:val="bottom"/>
            <w:hideMark/>
          </w:tcPr>
          <w:p w:rsidR="001130CF" w:rsidRPr="001130CF" w:rsidRDefault="001130CF" w:rsidP="001130CF">
            <w:pPr>
              <w:spacing w:after="0" w:line="240" w:lineRule="auto"/>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 </w:t>
            </w:r>
          </w:p>
        </w:tc>
        <w:tc>
          <w:tcPr>
            <w:tcW w:w="760" w:type="dxa"/>
            <w:tcBorders>
              <w:top w:val="nil"/>
              <w:left w:val="single" w:sz="4" w:space="0" w:color="auto"/>
              <w:bottom w:val="single" w:sz="8" w:space="0" w:color="auto"/>
              <w:right w:val="single" w:sz="8" w:space="0" w:color="auto"/>
            </w:tcBorders>
            <w:shd w:val="clear" w:color="auto" w:fill="auto"/>
            <w:noWrap/>
            <w:vAlign w:val="bottom"/>
            <w:hideMark/>
          </w:tcPr>
          <w:p w:rsidR="001130CF" w:rsidRPr="001130CF" w:rsidRDefault="001130CF" w:rsidP="001130CF">
            <w:pPr>
              <w:spacing w:after="0" w:line="240" w:lineRule="auto"/>
              <w:jc w:val="right"/>
              <w:rPr>
                <w:rFonts w:ascii="Times New Roman" w:eastAsia="Times New Roman" w:hAnsi="Times New Roman" w:cs="Times New Roman"/>
                <w:b/>
                <w:bCs/>
                <w:sz w:val="20"/>
                <w:szCs w:val="20"/>
                <w:lang w:eastAsia="pl-PL"/>
              </w:rPr>
            </w:pPr>
            <w:r w:rsidRPr="001130CF">
              <w:rPr>
                <w:rFonts w:ascii="Times New Roman" w:eastAsia="Times New Roman" w:hAnsi="Times New Roman" w:cs="Times New Roman"/>
                <w:b/>
                <w:bCs/>
                <w:sz w:val="20"/>
                <w:szCs w:val="20"/>
                <w:lang w:eastAsia="pl-PL"/>
              </w:rPr>
              <w:t>2,06</w:t>
            </w:r>
          </w:p>
        </w:tc>
      </w:tr>
    </w:tbl>
    <w:p w:rsidR="00E83292" w:rsidRDefault="00E83292" w:rsidP="00675BC6">
      <w:pPr>
        <w:spacing w:line="360" w:lineRule="auto"/>
        <w:rPr>
          <w:i/>
          <w:iCs/>
        </w:rPr>
      </w:pPr>
      <w:r w:rsidRPr="00675BC6">
        <w:rPr>
          <w:i/>
          <w:iCs/>
        </w:rPr>
        <w:t>Źródło: opracowanie własne</w:t>
      </w:r>
    </w:p>
    <w:p w:rsidR="00B15A48" w:rsidRPr="00675BC6" w:rsidRDefault="00B15A48" w:rsidP="00675BC6">
      <w:pPr>
        <w:spacing w:line="360" w:lineRule="auto"/>
        <w:rPr>
          <w:i/>
          <w:iCs/>
        </w:rPr>
      </w:pPr>
    </w:p>
    <w:p w:rsidR="001130CF" w:rsidRDefault="00E83292" w:rsidP="00710B2C">
      <w:pPr>
        <w:pStyle w:val="Akapitzlist"/>
        <w:spacing w:line="360" w:lineRule="auto"/>
        <w:ind w:left="0" w:firstLine="708"/>
        <w:jc w:val="both"/>
        <w:rPr>
          <w:rFonts w:ascii="Times New Roman" w:hAnsi="Times New Roman" w:cs="Times New Roman"/>
          <w:sz w:val="24"/>
          <w:szCs w:val="24"/>
        </w:rPr>
      </w:pPr>
      <w:r w:rsidRPr="00E83292">
        <w:rPr>
          <w:rFonts w:ascii="Times New Roman" w:hAnsi="Times New Roman" w:cs="Times New Roman"/>
          <w:sz w:val="24"/>
          <w:szCs w:val="24"/>
        </w:rPr>
        <w:lastRenderedPageBreak/>
        <w:t xml:space="preserve">Lista czynników jest dobrana tak, aby opisać te, które mogą mieć najważniejszy wpływ na działalność </w:t>
      </w:r>
      <w:r w:rsidR="001130CF">
        <w:rPr>
          <w:rFonts w:ascii="Times New Roman" w:hAnsi="Times New Roman" w:cs="Times New Roman"/>
          <w:sz w:val="24"/>
          <w:szCs w:val="24"/>
        </w:rPr>
        <w:t>firm wydawniczych.</w:t>
      </w:r>
      <w:r w:rsidR="002F5CC9">
        <w:rPr>
          <w:rFonts w:ascii="Times New Roman" w:hAnsi="Times New Roman" w:cs="Times New Roman"/>
          <w:sz w:val="24"/>
          <w:szCs w:val="24"/>
        </w:rPr>
        <w:t xml:space="preserve"> </w:t>
      </w:r>
      <w:r w:rsidR="001130CF" w:rsidRPr="00E83292">
        <w:rPr>
          <w:rFonts w:ascii="Times New Roman" w:hAnsi="Times New Roman" w:cs="Times New Roman"/>
          <w:sz w:val="24"/>
          <w:szCs w:val="24"/>
        </w:rPr>
        <w:t>Ocenę „1” uzyskuje czynnik, który</w:t>
      </w:r>
      <w:r w:rsidR="00B15A48">
        <w:rPr>
          <w:rFonts w:ascii="Times New Roman" w:hAnsi="Times New Roman" w:cs="Times New Roman"/>
          <w:sz w:val="24"/>
          <w:szCs w:val="24"/>
        </w:rPr>
        <w:t>,</w:t>
      </w:r>
      <w:r w:rsidR="001130CF" w:rsidRPr="00E83292">
        <w:rPr>
          <w:rFonts w:ascii="Times New Roman" w:hAnsi="Times New Roman" w:cs="Times New Roman"/>
          <w:sz w:val="24"/>
          <w:szCs w:val="24"/>
        </w:rPr>
        <w:t xml:space="preserve"> jeżeli mocno zadziała</w:t>
      </w:r>
      <w:r w:rsidR="00B15A48">
        <w:rPr>
          <w:rFonts w:ascii="Times New Roman" w:hAnsi="Times New Roman" w:cs="Times New Roman"/>
          <w:sz w:val="24"/>
          <w:szCs w:val="24"/>
        </w:rPr>
        <w:t>,</w:t>
      </w:r>
      <w:r w:rsidR="001130CF" w:rsidRPr="00E83292">
        <w:rPr>
          <w:rFonts w:ascii="Times New Roman" w:hAnsi="Times New Roman" w:cs="Times New Roman"/>
          <w:sz w:val="24"/>
          <w:szCs w:val="24"/>
        </w:rPr>
        <w:t xml:space="preserve"> to niewiele zmieni w sytuacji </w:t>
      </w:r>
      <w:r w:rsidR="001130CF">
        <w:rPr>
          <w:rFonts w:ascii="Times New Roman" w:hAnsi="Times New Roman" w:cs="Times New Roman"/>
          <w:sz w:val="24"/>
          <w:szCs w:val="24"/>
        </w:rPr>
        <w:t>branży wydawniczej</w:t>
      </w:r>
      <w:r w:rsidR="001130CF" w:rsidRPr="00E83292">
        <w:rPr>
          <w:rFonts w:ascii="Times New Roman" w:hAnsi="Times New Roman" w:cs="Times New Roman"/>
          <w:sz w:val="24"/>
          <w:szCs w:val="24"/>
        </w:rPr>
        <w:t>, ocenę „4” uzyskuje czynnik, który</w:t>
      </w:r>
      <w:r w:rsidR="00B15A48">
        <w:rPr>
          <w:rFonts w:ascii="Times New Roman" w:hAnsi="Times New Roman" w:cs="Times New Roman"/>
          <w:sz w:val="24"/>
          <w:szCs w:val="24"/>
        </w:rPr>
        <w:t>,</w:t>
      </w:r>
      <w:r w:rsidR="001130CF" w:rsidRPr="00E83292">
        <w:rPr>
          <w:rFonts w:ascii="Times New Roman" w:hAnsi="Times New Roman" w:cs="Times New Roman"/>
          <w:sz w:val="24"/>
          <w:szCs w:val="24"/>
        </w:rPr>
        <w:t xml:space="preserve"> jeżeli zadziała</w:t>
      </w:r>
      <w:r w:rsidR="008A5AB9">
        <w:rPr>
          <w:rFonts w:ascii="Times New Roman" w:hAnsi="Times New Roman" w:cs="Times New Roman"/>
          <w:sz w:val="24"/>
          <w:szCs w:val="24"/>
        </w:rPr>
        <w:t>,</w:t>
      </w:r>
      <w:r w:rsidR="001130CF" w:rsidRPr="00E83292">
        <w:rPr>
          <w:rFonts w:ascii="Times New Roman" w:hAnsi="Times New Roman" w:cs="Times New Roman"/>
          <w:sz w:val="24"/>
          <w:szCs w:val="24"/>
        </w:rPr>
        <w:t xml:space="preserve"> to wpłynie mocno na </w:t>
      </w:r>
      <w:r w:rsidR="001130CF">
        <w:rPr>
          <w:rFonts w:ascii="Times New Roman" w:hAnsi="Times New Roman" w:cs="Times New Roman"/>
          <w:sz w:val="24"/>
          <w:szCs w:val="24"/>
        </w:rPr>
        <w:t>branżę</w:t>
      </w:r>
      <w:r w:rsidR="001130CF" w:rsidRPr="00E83292">
        <w:rPr>
          <w:rFonts w:ascii="Times New Roman" w:hAnsi="Times New Roman" w:cs="Times New Roman"/>
          <w:sz w:val="24"/>
          <w:szCs w:val="24"/>
        </w:rPr>
        <w:t xml:space="preserve"> negatywnie lub pozytywnie. Oceny 2 i 3 są ocenami pośrednimi pomiędzy skrajnymi sytuacjami.</w:t>
      </w:r>
      <w:r w:rsidR="001130CF">
        <w:rPr>
          <w:rFonts w:ascii="Times New Roman" w:hAnsi="Times New Roman" w:cs="Times New Roman"/>
          <w:sz w:val="24"/>
          <w:szCs w:val="24"/>
        </w:rPr>
        <w:t xml:space="preserve"> Ocena</w:t>
      </w:r>
      <w:r w:rsidRPr="00E83292">
        <w:rPr>
          <w:rFonts w:ascii="Times New Roman" w:hAnsi="Times New Roman" w:cs="Times New Roman"/>
          <w:sz w:val="24"/>
          <w:szCs w:val="24"/>
        </w:rPr>
        <w:t xml:space="preserve"> 2,50 oznaczał</w:t>
      </w:r>
      <w:r w:rsidR="001130CF">
        <w:rPr>
          <w:rFonts w:ascii="Times New Roman" w:hAnsi="Times New Roman" w:cs="Times New Roman"/>
          <w:sz w:val="24"/>
          <w:szCs w:val="24"/>
        </w:rPr>
        <w:t>a</w:t>
      </w:r>
      <w:r w:rsidRPr="00E83292">
        <w:rPr>
          <w:rFonts w:ascii="Times New Roman" w:hAnsi="Times New Roman" w:cs="Times New Roman"/>
          <w:sz w:val="24"/>
          <w:szCs w:val="24"/>
        </w:rPr>
        <w:t xml:space="preserve">by, że </w:t>
      </w:r>
      <w:r w:rsidR="001130CF">
        <w:rPr>
          <w:rFonts w:ascii="Times New Roman" w:hAnsi="Times New Roman" w:cs="Times New Roman"/>
          <w:sz w:val="24"/>
          <w:szCs w:val="24"/>
        </w:rPr>
        <w:t>branża wydawnicza</w:t>
      </w:r>
      <w:r w:rsidRPr="00E83292">
        <w:rPr>
          <w:rFonts w:ascii="Times New Roman" w:hAnsi="Times New Roman" w:cs="Times New Roman"/>
          <w:sz w:val="24"/>
          <w:szCs w:val="24"/>
        </w:rPr>
        <w:t xml:space="preserve"> jest przygotowana na zmiany związane z tymi czynnikami, powyżej tej granicy – przygotowana bardzo dobrze. </w:t>
      </w:r>
    </w:p>
    <w:p w:rsidR="00E22F34" w:rsidRDefault="00E83292" w:rsidP="00710B2C">
      <w:pPr>
        <w:pStyle w:val="Akapitzlist"/>
        <w:spacing w:line="360" w:lineRule="auto"/>
        <w:ind w:left="0" w:firstLine="708"/>
        <w:jc w:val="both"/>
        <w:rPr>
          <w:rFonts w:ascii="Times New Roman" w:hAnsi="Times New Roman" w:cs="Times New Roman"/>
          <w:sz w:val="24"/>
          <w:szCs w:val="24"/>
        </w:rPr>
      </w:pPr>
      <w:r w:rsidRPr="00E83292">
        <w:rPr>
          <w:rFonts w:ascii="Times New Roman" w:hAnsi="Times New Roman" w:cs="Times New Roman"/>
          <w:sz w:val="24"/>
          <w:szCs w:val="24"/>
        </w:rPr>
        <w:t>Wynik 2,</w:t>
      </w:r>
      <w:r w:rsidR="001130CF">
        <w:rPr>
          <w:rFonts w:ascii="Times New Roman" w:hAnsi="Times New Roman" w:cs="Times New Roman"/>
          <w:sz w:val="24"/>
          <w:szCs w:val="24"/>
        </w:rPr>
        <w:t>06</w:t>
      </w:r>
      <w:r w:rsidR="002F5CC9">
        <w:rPr>
          <w:rFonts w:ascii="Times New Roman" w:hAnsi="Times New Roman" w:cs="Times New Roman"/>
          <w:sz w:val="24"/>
          <w:szCs w:val="24"/>
        </w:rPr>
        <w:t xml:space="preserve"> </w:t>
      </w:r>
      <w:r w:rsidR="006D75A3">
        <w:rPr>
          <w:rFonts w:ascii="Times New Roman" w:hAnsi="Times New Roman" w:cs="Times New Roman"/>
          <w:sz w:val="24"/>
          <w:szCs w:val="24"/>
        </w:rPr>
        <w:t>można uznać za</w:t>
      </w:r>
      <w:r w:rsidRPr="00E83292">
        <w:rPr>
          <w:rFonts w:ascii="Times New Roman" w:hAnsi="Times New Roman" w:cs="Times New Roman"/>
          <w:sz w:val="24"/>
          <w:szCs w:val="24"/>
        </w:rPr>
        <w:t xml:space="preserve"> ocen</w:t>
      </w:r>
      <w:r w:rsidR="006D75A3">
        <w:rPr>
          <w:rFonts w:ascii="Times New Roman" w:hAnsi="Times New Roman" w:cs="Times New Roman"/>
          <w:sz w:val="24"/>
          <w:szCs w:val="24"/>
        </w:rPr>
        <w:t>ę</w:t>
      </w:r>
      <w:r w:rsidRPr="00E83292">
        <w:rPr>
          <w:rFonts w:ascii="Times New Roman" w:hAnsi="Times New Roman" w:cs="Times New Roman"/>
          <w:sz w:val="24"/>
          <w:szCs w:val="24"/>
        </w:rPr>
        <w:t xml:space="preserve"> subiektywną, ale w jakiś skondensowany sposób (w miarę prosty) opisuje</w:t>
      </w:r>
      <w:r w:rsidR="006D75A3">
        <w:rPr>
          <w:rFonts w:ascii="Times New Roman" w:hAnsi="Times New Roman" w:cs="Times New Roman"/>
          <w:sz w:val="24"/>
          <w:szCs w:val="24"/>
        </w:rPr>
        <w:t xml:space="preserve"> relacje branży wydawniczej ze światem zewnętrznym. Ocena ta wskazuje, </w:t>
      </w:r>
      <w:r w:rsidRPr="00E83292">
        <w:rPr>
          <w:rFonts w:ascii="Times New Roman" w:hAnsi="Times New Roman" w:cs="Times New Roman"/>
          <w:sz w:val="24"/>
          <w:szCs w:val="24"/>
        </w:rPr>
        <w:t xml:space="preserve">że nie jest tak </w:t>
      </w:r>
      <w:r w:rsidR="006D75A3">
        <w:rPr>
          <w:rFonts w:ascii="Times New Roman" w:hAnsi="Times New Roman" w:cs="Times New Roman"/>
          <w:sz w:val="24"/>
          <w:szCs w:val="24"/>
        </w:rPr>
        <w:t xml:space="preserve">źle jak niektórzy mówią i piszą, ale cieszyć się również nie ma z czego. Nie dość, że branża ma wewnętrzne kłopoty, to jeszcze otoczenie zewnętrzne nie jest jej za bardzo przyjazne. </w:t>
      </w:r>
      <w:r w:rsidR="001130CF">
        <w:rPr>
          <w:rFonts w:ascii="Times New Roman" w:hAnsi="Times New Roman" w:cs="Times New Roman"/>
          <w:sz w:val="24"/>
          <w:szCs w:val="24"/>
        </w:rPr>
        <w:t>Miarodajne oceny mogą pojawić się po paru latach na podstawie trendów oraz doprecyzowania czynników.</w:t>
      </w:r>
    </w:p>
    <w:p w:rsidR="00E22F34" w:rsidRDefault="00E22F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F1AC2" w:rsidRPr="00567F66" w:rsidRDefault="004F1AC2" w:rsidP="00332277">
      <w:pPr>
        <w:pStyle w:val="Akapitzlist"/>
        <w:numPr>
          <w:ilvl w:val="1"/>
          <w:numId w:val="28"/>
        </w:numPr>
        <w:spacing w:line="360" w:lineRule="auto"/>
        <w:ind w:left="1134" w:hanging="425"/>
        <w:rPr>
          <w:rFonts w:ascii="Times New Roman" w:hAnsi="Times New Roman" w:cs="Times New Roman"/>
          <w:b/>
          <w:sz w:val="26"/>
          <w:szCs w:val="26"/>
        </w:rPr>
      </w:pPr>
      <w:r w:rsidRPr="00567F66">
        <w:rPr>
          <w:rFonts w:ascii="Times New Roman" w:hAnsi="Times New Roman" w:cs="Times New Roman"/>
          <w:b/>
          <w:sz w:val="26"/>
          <w:szCs w:val="26"/>
        </w:rPr>
        <w:lastRenderedPageBreak/>
        <w:t>Otoczenie konkurencyjne</w:t>
      </w:r>
    </w:p>
    <w:p w:rsidR="00DD4395" w:rsidRPr="00D123AA" w:rsidRDefault="00DD4395" w:rsidP="00332277">
      <w:pPr>
        <w:pStyle w:val="Akapitzlist"/>
        <w:numPr>
          <w:ilvl w:val="2"/>
          <w:numId w:val="28"/>
        </w:numPr>
        <w:spacing w:line="360" w:lineRule="auto"/>
        <w:ind w:left="1985" w:hanging="851"/>
        <w:rPr>
          <w:rFonts w:ascii="Times New Roman" w:hAnsi="Times New Roman" w:cs="Times New Roman"/>
          <w:sz w:val="24"/>
          <w:szCs w:val="24"/>
        </w:rPr>
      </w:pPr>
      <w:r w:rsidRPr="00D123AA">
        <w:rPr>
          <w:rFonts w:ascii="Times New Roman" w:hAnsi="Times New Roman" w:cs="Times New Roman"/>
          <w:sz w:val="24"/>
          <w:szCs w:val="24"/>
        </w:rPr>
        <w:t>Metoda „Pięciu sił Portera”</w:t>
      </w:r>
    </w:p>
    <w:p w:rsidR="00FB7D8E" w:rsidRDefault="001D5C29" w:rsidP="00710B2C">
      <w:pPr>
        <w:pStyle w:val="Akapitzlist"/>
        <w:spacing w:after="0" w:line="360" w:lineRule="auto"/>
        <w:ind w:left="0" w:firstLine="360"/>
        <w:rPr>
          <w:rFonts w:ascii="Times New Roman" w:hAnsi="Times New Roman" w:cs="Times New Roman"/>
          <w:sz w:val="24"/>
          <w:szCs w:val="24"/>
        </w:rPr>
      </w:pPr>
      <w:r>
        <w:rPr>
          <w:rFonts w:ascii="Times New Roman" w:hAnsi="Times New Roman" w:cs="Times New Roman"/>
          <w:sz w:val="24"/>
          <w:szCs w:val="24"/>
        </w:rPr>
        <w:t>Zintegrowaną metodą</w:t>
      </w:r>
      <w:r w:rsidR="00DD4395" w:rsidRPr="00D123AA">
        <w:rPr>
          <w:rFonts w:ascii="Times New Roman" w:hAnsi="Times New Roman" w:cs="Times New Roman"/>
          <w:sz w:val="24"/>
          <w:szCs w:val="24"/>
        </w:rPr>
        <w:t xml:space="preserve"> oceny </w:t>
      </w:r>
      <w:r w:rsidR="00AD5AA7">
        <w:rPr>
          <w:rFonts w:ascii="Times New Roman" w:hAnsi="Times New Roman" w:cs="Times New Roman"/>
          <w:sz w:val="24"/>
          <w:szCs w:val="24"/>
        </w:rPr>
        <w:t>otoczenia konkurencyjnego</w:t>
      </w:r>
      <w:r w:rsidR="00DD4395" w:rsidRPr="00D123AA">
        <w:rPr>
          <w:rFonts w:ascii="Times New Roman" w:hAnsi="Times New Roman" w:cs="Times New Roman"/>
          <w:sz w:val="24"/>
          <w:szCs w:val="24"/>
        </w:rPr>
        <w:t xml:space="preserve"> jest metoda „Pięciu sił Portera”. </w:t>
      </w:r>
      <w:r>
        <w:rPr>
          <w:rFonts w:ascii="Times New Roman" w:hAnsi="Times New Roman" w:cs="Times New Roman"/>
          <w:sz w:val="24"/>
          <w:szCs w:val="24"/>
        </w:rPr>
        <w:t>Jest to pięć</w:t>
      </w:r>
      <w:r w:rsidR="00DD4395" w:rsidRPr="00D123AA">
        <w:rPr>
          <w:rFonts w:ascii="Times New Roman" w:hAnsi="Times New Roman" w:cs="Times New Roman"/>
          <w:sz w:val="24"/>
          <w:szCs w:val="24"/>
        </w:rPr>
        <w:t xml:space="preserve"> wzajemnie oddziałujących na siebie czynników: siły przetargowej dostawców, siły przetargowej nabywców</w:t>
      </w:r>
      <w:r w:rsidR="003A1785">
        <w:rPr>
          <w:rFonts w:ascii="Times New Roman" w:hAnsi="Times New Roman" w:cs="Times New Roman"/>
          <w:sz w:val="24"/>
          <w:szCs w:val="24"/>
        </w:rPr>
        <w:t xml:space="preserve">, </w:t>
      </w:r>
      <w:r w:rsidR="00DD4395" w:rsidRPr="00D123AA">
        <w:rPr>
          <w:rFonts w:ascii="Times New Roman" w:hAnsi="Times New Roman" w:cs="Times New Roman"/>
          <w:sz w:val="24"/>
          <w:szCs w:val="24"/>
        </w:rPr>
        <w:t>natężeniu konkurencji w sektorze, groźbie nowych konkurentów i groźbie substytutów.</w:t>
      </w:r>
      <w:r w:rsidR="00AD5AA7">
        <w:rPr>
          <w:rFonts w:ascii="Times New Roman" w:hAnsi="Times New Roman" w:cs="Times New Roman"/>
          <w:sz w:val="24"/>
          <w:szCs w:val="24"/>
        </w:rPr>
        <w:t xml:space="preserve"> </w:t>
      </w:r>
      <w:r w:rsidR="003A1785">
        <w:rPr>
          <w:rFonts w:ascii="Times New Roman" w:hAnsi="Times New Roman" w:cs="Times New Roman"/>
          <w:sz w:val="24"/>
          <w:szCs w:val="24"/>
        </w:rPr>
        <w:t>W celu lepszego odczytania przedstawianych zależności należ</w:t>
      </w:r>
      <w:r w:rsidR="00E9755C">
        <w:rPr>
          <w:rFonts w:ascii="Times New Roman" w:hAnsi="Times New Roman" w:cs="Times New Roman"/>
          <w:sz w:val="24"/>
          <w:szCs w:val="24"/>
        </w:rPr>
        <w:t>y doprecyzować niektóre pojęcia:</w:t>
      </w:r>
    </w:p>
    <w:p w:rsidR="00B53D0F" w:rsidRDefault="00B53D0F" w:rsidP="003A1785">
      <w:pPr>
        <w:pStyle w:val="Akapitzlist"/>
        <w:spacing w:after="0" w:line="360" w:lineRule="auto"/>
        <w:ind w:left="0" w:firstLine="360"/>
        <w:rPr>
          <w:rFonts w:ascii="Times New Roman" w:hAnsi="Times New Roman" w:cs="Times New Roman"/>
          <w:sz w:val="24"/>
          <w:szCs w:val="24"/>
        </w:rPr>
      </w:pPr>
    </w:p>
    <w:p w:rsidR="003A1785" w:rsidRDefault="003A1785" w:rsidP="003A1785">
      <w:pPr>
        <w:pStyle w:val="Akapitzlist"/>
        <w:spacing w:after="0" w:line="360" w:lineRule="auto"/>
        <w:ind w:left="0" w:firstLine="360"/>
        <w:rPr>
          <w:rFonts w:ascii="Times New Roman" w:hAnsi="Times New Roman" w:cs="Times New Roman"/>
          <w:sz w:val="24"/>
          <w:szCs w:val="24"/>
        </w:rPr>
      </w:pPr>
      <w:r>
        <w:rPr>
          <w:rFonts w:ascii="Times New Roman" w:hAnsi="Times New Roman" w:cs="Times New Roman"/>
          <w:sz w:val="24"/>
          <w:szCs w:val="24"/>
        </w:rPr>
        <w:t xml:space="preserve">Nowe wejścia konkurentów </w:t>
      </w:r>
      <w:r>
        <w:rPr>
          <w:rFonts w:ascii="Times New Roman" w:hAnsi="Times New Roman" w:cs="Times New Roman"/>
          <w:sz w:val="24"/>
          <w:szCs w:val="24"/>
        </w:rPr>
        <w:tab/>
        <w:t>- potencjalni nowi wydawcy</w:t>
      </w:r>
    </w:p>
    <w:p w:rsidR="003A1785" w:rsidRDefault="003A1785" w:rsidP="003A1785">
      <w:pPr>
        <w:pStyle w:val="Akapitzlist"/>
        <w:spacing w:after="0" w:line="360" w:lineRule="auto"/>
        <w:ind w:left="0" w:firstLine="360"/>
        <w:rPr>
          <w:rFonts w:ascii="Times New Roman" w:hAnsi="Times New Roman" w:cs="Times New Roman"/>
          <w:sz w:val="24"/>
          <w:szCs w:val="24"/>
        </w:rPr>
      </w:pPr>
      <w:r>
        <w:rPr>
          <w:rFonts w:ascii="Times New Roman" w:hAnsi="Times New Roman" w:cs="Times New Roman"/>
          <w:sz w:val="24"/>
          <w:szCs w:val="24"/>
        </w:rPr>
        <w:t>Dostawcy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drukarnie</w:t>
      </w:r>
    </w:p>
    <w:p w:rsidR="003A1785" w:rsidRDefault="003A1785" w:rsidP="003A1785">
      <w:pPr>
        <w:pStyle w:val="Akapitzlist"/>
        <w:spacing w:after="0" w:line="360" w:lineRule="auto"/>
        <w:ind w:left="0" w:firstLine="360"/>
        <w:rPr>
          <w:rFonts w:ascii="Times New Roman" w:hAnsi="Times New Roman" w:cs="Times New Roman"/>
          <w:sz w:val="24"/>
          <w:szCs w:val="24"/>
        </w:rPr>
      </w:pPr>
      <w:r>
        <w:rPr>
          <w:rFonts w:ascii="Times New Roman" w:hAnsi="Times New Roman" w:cs="Times New Roman"/>
          <w:sz w:val="24"/>
          <w:szCs w:val="24"/>
        </w:rPr>
        <w:t xml:space="preserve">Nabywcy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dystrybutorzy, hurtownie książek</w:t>
      </w:r>
    </w:p>
    <w:p w:rsidR="00A5118D" w:rsidRPr="001D5C29" w:rsidRDefault="00A5118D" w:rsidP="00A5118D">
      <w:pPr>
        <w:pStyle w:val="Akapitzlist"/>
        <w:spacing w:after="0" w:line="360" w:lineRule="auto"/>
        <w:ind w:left="3544" w:hanging="3184"/>
        <w:rPr>
          <w:rFonts w:ascii="Times New Roman" w:hAnsi="Times New Roman" w:cs="Times New Roman"/>
          <w:sz w:val="24"/>
          <w:szCs w:val="24"/>
        </w:rPr>
      </w:pPr>
      <w:r>
        <w:rPr>
          <w:rFonts w:ascii="Times New Roman" w:hAnsi="Times New Roman" w:cs="Times New Roman"/>
          <w:sz w:val="24"/>
          <w:szCs w:val="24"/>
        </w:rPr>
        <w:t>Substytuty</w:t>
      </w:r>
      <w:r>
        <w:rPr>
          <w:rFonts w:ascii="Times New Roman" w:hAnsi="Times New Roman" w:cs="Times New Roman"/>
          <w:sz w:val="24"/>
          <w:szCs w:val="24"/>
        </w:rPr>
        <w:tab/>
        <w:t xml:space="preserve">- e-booki traktowane jeszcze jako substytut książki, a </w:t>
      </w:r>
      <w:r w:rsidR="00B53D0F">
        <w:rPr>
          <w:rFonts w:ascii="Times New Roman" w:hAnsi="Times New Roman" w:cs="Times New Roman"/>
          <w:sz w:val="24"/>
          <w:szCs w:val="24"/>
        </w:rPr>
        <w:t xml:space="preserve">  </w:t>
      </w:r>
      <w:r>
        <w:rPr>
          <w:rFonts w:ascii="Times New Roman" w:hAnsi="Times New Roman" w:cs="Times New Roman"/>
          <w:sz w:val="24"/>
          <w:szCs w:val="24"/>
        </w:rPr>
        <w:t>szerzej e-media</w:t>
      </w:r>
    </w:p>
    <w:p w:rsidR="00B53D0F" w:rsidRDefault="00B53D0F" w:rsidP="00675BC6">
      <w:pPr>
        <w:rPr>
          <w:rFonts w:ascii="Times New Roman" w:hAnsi="Times New Roman" w:cs="Times New Roman"/>
          <w:b/>
          <w:sz w:val="24"/>
          <w:szCs w:val="24"/>
        </w:rPr>
      </w:pPr>
    </w:p>
    <w:p w:rsidR="00DD4395" w:rsidRPr="00913E44" w:rsidRDefault="00DD4395" w:rsidP="00675BC6">
      <w:pPr>
        <w:rPr>
          <w:rFonts w:ascii="Times New Roman" w:hAnsi="Times New Roman" w:cs="Times New Roman"/>
          <w:b/>
          <w:sz w:val="24"/>
          <w:szCs w:val="24"/>
        </w:rPr>
      </w:pPr>
      <w:r w:rsidRPr="00913E44">
        <w:rPr>
          <w:rFonts w:ascii="Times New Roman" w:hAnsi="Times New Roman" w:cs="Times New Roman"/>
          <w:b/>
          <w:sz w:val="24"/>
          <w:szCs w:val="24"/>
        </w:rPr>
        <w:t>„Pięć sił Portera”</w:t>
      </w:r>
    </w:p>
    <w:tbl>
      <w:tblPr>
        <w:tblW w:w="8660" w:type="dxa"/>
        <w:tblInd w:w="55" w:type="dxa"/>
        <w:tblCellMar>
          <w:left w:w="70" w:type="dxa"/>
          <w:right w:w="70" w:type="dxa"/>
        </w:tblCellMar>
        <w:tblLook w:val="04A0" w:firstRow="1" w:lastRow="0" w:firstColumn="1" w:lastColumn="0" w:noHBand="0" w:noVBand="1"/>
      </w:tblPr>
      <w:tblGrid>
        <w:gridCol w:w="4729"/>
        <w:gridCol w:w="1890"/>
        <w:gridCol w:w="683"/>
        <w:gridCol w:w="744"/>
        <w:gridCol w:w="614"/>
      </w:tblGrid>
      <w:tr w:rsidR="00E9755C" w:rsidRPr="00E9755C" w:rsidTr="00E9755C">
        <w:trPr>
          <w:trHeight w:val="263"/>
        </w:trPr>
        <w:tc>
          <w:tcPr>
            <w:tcW w:w="866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Groźba nowych wejść konkurentów</w:t>
            </w:r>
          </w:p>
        </w:tc>
      </w:tr>
      <w:tr w:rsidR="00E9755C" w:rsidRPr="00E9755C" w:rsidTr="00E9755C">
        <w:trPr>
          <w:trHeight w:val="278"/>
        </w:trPr>
        <w:tc>
          <w:tcPr>
            <w:tcW w:w="4729" w:type="dxa"/>
            <w:tcBorders>
              <w:top w:val="nil"/>
              <w:left w:val="single" w:sz="8"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Czynnik</w:t>
            </w:r>
          </w:p>
        </w:tc>
        <w:tc>
          <w:tcPr>
            <w:tcW w:w="1890"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Kierunek oceny</w:t>
            </w:r>
          </w:p>
        </w:tc>
        <w:tc>
          <w:tcPr>
            <w:tcW w:w="683"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Waga</w:t>
            </w:r>
          </w:p>
        </w:tc>
        <w:tc>
          <w:tcPr>
            <w:tcW w:w="744"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Ocena</w:t>
            </w:r>
          </w:p>
        </w:tc>
        <w:tc>
          <w:tcPr>
            <w:tcW w:w="614" w:type="dxa"/>
            <w:tcBorders>
              <w:top w:val="nil"/>
              <w:left w:val="single" w:sz="4" w:space="0" w:color="auto"/>
              <w:bottom w:val="single" w:sz="8" w:space="0" w:color="auto"/>
              <w:right w:val="single" w:sz="8" w:space="0" w:color="auto"/>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Siła</w:t>
            </w:r>
          </w:p>
        </w:tc>
      </w:tr>
      <w:tr w:rsidR="00E9755C" w:rsidRPr="00E9755C" w:rsidTr="00E9755C">
        <w:trPr>
          <w:trHeight w:val="263"/>
        </w:trPr>
        <w:tc>
          <w:tcPr>
            <w:tcW w:w="4729"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Rentowność sektora</w:t>
            </w:r>
          </w:p>
        </w:tc>
        <w:tc>
          <w:tcPr>
            <w:tcW w:w="189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duża - wysoko</w:t>
            </w:r>
          </w:p>
        </w:tc>
        <w:tc>
          <w:tcPr>
            <w:tcW w:w="683"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0,16</w:t>
            </w:r>
          </w:p>
        </w:tc>
        <w:tc>
          <w:tcPr>
            <w:tcW w:w="74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-1</w:t>
            </w:r>
          </w:p>
        </w:tc>
        <w:tc>
          <w:tcPr>
            <w:tcW w:w="614"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-0,16</w:t>
            </w:r>
          </w:p>
        </w:tc>
      </w:tr>
      <w:tr w:rsidR="00E9755C" w:rsidRPr="00E9755C" w:rsidTr="00E9755C">
        <w:trPr>
          <w:trHeight w:val="263"/>
        </w:trPr>
        <w:tc>
          <w:tcPr>
            <w:tcW w:w="4729"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Dostęp do kanałów dystrybucji</w:t>
            </w:r>
          </w:p>
        </w:tc>
        <w:tc>
          <w:tcPr>
            <w:tcW w:w="189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łatwy - wysoko</w:t>
            </w:r>
          </w:p>
        </w:tc>
        <w:tc>
          <w:tcPr>
            <w:tcW w:w="683"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0,16</w:t>
            </w:r>
          </w:p>
        </w:tc>
        <w:tc>
          <w:tcPr>
            <w:tcW w:w="74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-1</w:t>
            </w:r>
          </w:p>
        </w:tc>
        <w:tc>
          <w:tcPr>
            <w:tcW w:w="614"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-0,16</w:t>
            </w:r>
          </w:p>
        </w:tc>
      </w:tr>
      <w:tr w:rsidR="00E9755C" w:rsidRPr="00E9755C" w:rsidTr="00E9755C">
        <w:trPr>
          <w:trHeight w:val="263"/>
        </w:trPr>
        <w:tc>
          <w:tcPr>
            <w:tcW w:w="4729"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Dostęp do autorów</w:t>
            </w:r>
          </w:p>
        </w:tc>
        <w:tc>
          <w:tcPr>
            <w:tcW w:w="189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łatwy - wysoko</w:t>
            </w:r>
          </w:p>
        </w:tc>
        <w:tc>
          <w:tcPr>
            <w:tcW w:w="683"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0,12</w:t>
            </w:r>
          </w:p>
        </w:tc>
        <w:tc>
          <w:tcPr>
            <w:tcW w:w="74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2</w:t>
            </w:r>
          </w:p>
        </w:tc>
        <w:tc>
          <w:tcPr>
            <w:tcW w:w="614"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0,24</w:t>
            </w:r>
          </w:p>
        </w:tc>
      </w:tr>
      <w:tr w:rsidR="00E9755C" w:rsidRPr="00E9755C" w:rsidTr="00E9755C">
        <w:trPr>
          <w:trHeight w:val="263"/>
        </w:trPr>
        <w:tc>
          <w:tcPr>
            <w:tcW w:w="4729"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Siła marki firmy</w:t>
            </w:r>
          </w:p>
        </w:tc>
        <w:tc>
          <w:tcPr>
            <w:tcW w:w="189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wysoka - nisko</w:t>
            </w:r>
          </w:p>
        </w:tc>
        <w:tc>
          <w:tcPr>
            <w:tcW w:w="683"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0,10</w:t>
            </w:r>
          </w:p>
        </w:tc>
        <w:tc>
          <w:tcPr>
            <w:tcW w:w="74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2</w:t>
            </w:r>
          </w:p>
        </w:tc>
        <w:tc>
          <w:tcPr>
            <w:tcW w:w="614"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0,20</w:t>
            </w:r>
          </w:p>
        </w:tc>
      </w:tr>
      <w:tr w:rsidR="00E9755C" w:rsidRPr="00E9755C" w:rsidTr="00E9755C">
        <w:trPr>
          <w:trHeight w:val="263"/>
        </w:trPr>
        <w:tc>
          <w:tcPr>
            <w:tcW w:w="4729"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Koszty zmiany dostawcy przez nabywców</w:t>
            </w:r>
          </w:p>
        </w:tc>
        <w:tc>
          <w:tcPr>
            <w:tcW w:w="189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niskie - wysoko</w:t>
            </w:r>
          </w:p>
        </w:tc>
        <w:tc>
          <w:tcPr>
            <w:tcW w:w="683"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0,08</w:t>
            </w:r>
          </w:p>
        </w:tc>
        <w:tc>
          <w:tcPr>
            <w:tcW w:w="74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3</w:t>
            </w:r>
          </w:p>
        </w:tc>
        <w:tc>
          <w:tcPr>
            <w:tcW w:w="614"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0,24</w:t>
            </w:r>
          </w:p>
        </w:tc>
      </w:tr>
      <w:tr w:rsidR="00E9755C" w:rsidRPr="00E9755C" w:rsidTr="00E9755C">
        <w:trPr>
          <w:trHeight w:val="263"/>
        </w:trPr>
        <w:tc>
          <w:tcPr>
            <w:tcW w:w="4729"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Potrzeby kapitałowe</w:t>
            </w:r>
          </w:p>
        </w:tc>
        <w:tc>
          <w:tcPr>
            <w:tcW w:w="189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wysokie - nisko</w:t>
            </w:r>
          </w:p>
        </w:tc>
        <w:tc>
          <w:tcPr>
            <w:tcW w:w="683"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0,08</w:t>
            </w:r>
          </w:p>
        </w:tc>
        <w:tc>
          <w:tcPr>
            <w:tcW w:w="74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4</w:t>
            </w:r>
          </w:p>
        </w:tc>
        <w:tc>
          <w:tcPr>
            <w:tcW w:w="614"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0,32</w:t>
            </w:r>
          </w:p>
        </w:tc>
      </w:tr>
      <w:tr w:rsidR="00E9755C" w:rsidRPr="00E9755C" w:rsidTr="00E9755C">
        <w:trPr>
          <w:trHeight w:val="263"/>
        </w:trPr>
        <w:tc>
          <w:tcPr>
            <w:tcW w:w="4729"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Ekonomia skali</w:t>
            </w:r>
          </w:p>
        </w:tc>
        <w:tc>
          <w:tcPr>
            <w:tcW w:w="189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duża - nisko</w:t>
            </w:r>
          </w:p>
        </w:tc>
        <w:tc>
          <w:tcPr>
            <w:tcW w:w="683"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0,08</w:t>
            </w:r>
          </w:p>
        </w:tc>
        <w:tc>
          <w:tcPr>
            <w:tcW w:w="74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4</w:t>
            </w:r>
          </w:p>
        </w:tc>
        <w:tc>
          <w:tcPr>
            <w:tcW w:w="614"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0,32</w:t>
            </w:r>
          </w:p>
        </w:tc>
      </w:tr>
      <w:tr w:rsidR="00E9755C" w:rsidRPr="00E9755C" w:rsidTr="00E9755C">
        <w:trPr>
          <w:trHeight w:val="263"/>
        </w:trPr>
        <w:tc>
          <w:tcPr>
            <w:tcW w:w="4729"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Faza rozwoju produktów</w:t>
            </w:r>
          </w:p>
        </w:tc>
        <w:tc>
          <w:tcPr>
            <w:tcW w:w="189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rozwój - wysoko</w:t>
            </w:r>
          </w:p>
        </w:tc>
        <w:tc>
          <w:tcPr>
            <w:tcW w:w="683"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0,08</w:t>
            </w:r>
          </w:p>
        </w:tc>
        <w:tc>
          <w:tcPr>
            <w:tcW w:w="74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-4</w:t>
            </w:r>
          </w:p>
        </w:tc>
        <w:tc>
          <w:tcPr>
            <w:tcW w:w="614"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-0,32</w:t>
            </w:r>
          </w:p>
        </w:tc>
      </w:tr>
      <w:tr w:rsidR="00E9755C" w:rsidRPr="00E9755C" w:rsidTr="00E9755C">
        <w:trPr>
          <w:trHeight w:val="263"/>
        </w:trPr>
        <w:tc>
          <w:tcPr>
            <w:tcW w:w="4729"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Korzystanie z dopłat UE</w:t>
            </w:r>
          </w:p>
        </w:tc>
        <w:tc>
          <w:tcPr>
            <w:tcW w:w="189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łatwe - wysoko</w:t>
            </w:r>
          </w:p>
        </w:tc>
        <w:tc>
          <w:tcPr>
            <w:tcW w:w="683"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0,06</w:t>
            </w:r>
          </w:p>
        </w:tc>
        <w:tc>
          <w:tcPr>
            <w:tcW w:w="74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-2</w:t>
            </w:r>
          </w:p>
        </w:tc>
        <w:tc>
          <w:tcPr>
            <w:tcW w:w="614"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-0,12</w:t>
            </w:r>
          </w:p>
        </w:tc>
      </w:tr>
      <w:tr w:rsidR="00E9755C" w:rsidRPr="00E9755C" w:rsidTr="00E9755C">
        <w:trPr>
          <w:trHeight w:val="263"/>
        </w:trPr>
        <w:tc>
          <w:tcPr>
            <w:tcW w:w="4729"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Koszty wyjścia z sektora</w:t>
            </w:r>
          </w:p>
        </w:tc>
        <w:tc>
          <w:tcPr>
            <w:tcW w:w="189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wysokie - nisko</w:t>
            </w:r>
          </w:p>
        </w:tc>
        <w:tc>
          <w:tcPr>
            <w:tcW w:w="683"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0,06</w:t>
            </w:r>
          </w:p>
        </w:tc>
        <w:tc>
          <w:tcPr>
            <w:tcW w:w="74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4</w:t>
            </w:r>
          </w:p>
        </w:tc>
        <w:tc>
          <w:tcPr>
            <w:tcW w:w="614"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0,24</w:t>
            </w:r>
          </w:p>
        </w:tc>
      </w:tr>
      <w:tr w:rsidR="00E9755C" w:rsidRPr="00E9755C" w:rsidTr="00E9755C">
        <w:trPr>
          <w:trHeight w:val="278"/>
        </w:trPr>
        <w:tc>
          <w:tcPr>
            <w:tcW w:w="4729" w:type="dxa"/>
            <w:tcBorders>
              <w:top w:val="nil"/>
              <w:left w:val="single" w:sz="8"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suma</w:t>
            </w:r>
          </w:p>
        </w:tc>
        <w:tc>
          <w:tcPr>
            <w:tcW w:w="1890"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 </w:t>
            </w:r>
          </w:p>
        </w:tc>
        <w:tc>
          <w:tcPr>
            <w:tcW w:w="683"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0,98</w:t>
            </w:r>
          </w:p>
        </w:tc>
        <w:tc>
          <w:tcPr>
            <w:tcW w:w="744"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 </w:t>
            </w:r>
          </w:p>
        </w:tc>
        <w:tc>
          <w:tcPr>
            <w:tcW w:w="614" w:type="dxa"/>
            <w:tcBorders>
              <w:top w:val="nil"/>
              <w:left w:val="single" w:sz="4" w:space="0" w:color="auto"/>
              <w:bottom w:val="single" w:sz="8" w:space="0" w:color="auto"/>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0,80</w:t>
            </w:r>
          </w:p>
        </w:tc>
      </w:tr>
    </w:tbl>
    <w:p w:rsidR="001D5C29" w:rsidRDefault="001D5C29" w:rsidP="000F2100">
      <w:pPr>
        <w:spacing w:line="360" w:lineRule="auto"/>
        <w:rPr>
          <w:rFonts w:ascii="Times New Roman" w:hAnsi="Times New Roman" w:cs="Times New Roman"/>
          <w:sz w:val="16"/>
          <w:szCs w:val="16"/>
        </w:rPr>
      </w:pPr>
    </w:p>
    <w:p w:rsidR="00E22F34" w:rsidRDefault="00E22F34" w:rsidP="000F2100">
      <w:pPr>
        <w:spacing w:line="360" w:lineRule="auto"/>
        <w:rPr>
          <w:rFonts w:ascii="Times New Roman" w:hAnsi="Times New Roman" w:cs="Times New Roman"/>
          <w:sz w:val="16"/>
          <w:szCs w:val="16"/>
        </w:rPr>
      </w:pPr>
    </w:p>
    <w:p w:rsidR="00E22F34" w:rsidRDefault="00E22F34" w:rsidP="000F2100">
      <w:pPr>
        <w:spacing w:line="360" w:lineRule="auto"/>
        <w:rPr>
          <w:rFonts w:ascii="Times New Roman" w:hAnsi="Times New Roman" w:cs="Times New Roman"/>
          <w:sz w:val="16"/>
          <w:szCs w:val="16"/>
        </w:rPr>
      </w:pPr>
    </w:p>
    <w:p w:rsidR="00B53D0F" w:rsidRDefault="00B53D0F" w:rsidP="000F2100">
      <w:pPr>
        <w:spacing w:line="360" w:lineRule="auto"/>
        <w:rPr>
          <w:rFonts w:ascii="Times New Roman" w:hAnsi="Times New Roman" w:cs="Times New Roman"/>
          <w:sz w:val="16"/>
          <w:szCs w:val="16"/>
        </w:rPr>
      </w:pPr>
    </w:p>
    <w:p w:rsidR="00B53D0F" w:rsidRDefault="00B53D0F" w:rsidP="000F2100">
      <w:pPr>
        <w:spacing w:line="360" w:lineRule="auto"/>
        <w:rPr>
          <w:rFonts w:ascii="Times New Roman" w:hAnsi="Times New Roman" w:cs="Times New Roman"/>
          <w:sz w:val="16"/>
          <w:szCs w:val="16"/>
        </w:rPr>
      </w:pPr>
    </w:p>
    <w:tbl>
      <w:tblPr>
        <w:tblW w:w="8645" w:type="dxa"/>
        <w:tblInd w:w="55" w:type="dxa"/>
        <w:tblCellMar>
          <w:left w:w="70" w:type="dxa"/>
          <w:right w:w="70" w:type="dxa"/>
        </w:tblCellMar>
        <w:tblLook w:val="04A0" w:firstRow="1" w:lastRow="0" w:firstColumn="1" w:lastColumn="0" w:noHBand="0" w:noVBand="1"/>
      </w:tblPr>
      <w:tblGrid>
        <w:gridCol w:w="4717"/>
        <w:gridCol w:w="1964"/>
        <w:gridCol w:w="657"/>
        <w:gridCol w:w="716"/>
        <w:gridCol w:w="591"/>
      </w:tblGrid>
      <w:tr w:rsidR="00E9755C" w:rsidRPr="00E9755C" w:rsidTr="00E9755C">
        <w:trPr>
          <w:trHeight w:val="275"/>
        </w:trPr>
        <w:tc>
          <w:tcPr>
            <w:tcW w:w="8645"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lastRenderedPageBreak/>
              <w:t>Siła przetargowa dostawców (drukarń)</w:t>
            </w:r>
          </w:p>
        </w:tc>
      </w:tr>
      <w:tr w:rsidR="00E9755C" w:rsidRPr="00E9755C" w:rsidTr="00E9755C">
        <w:trPr>
          <w:trHeight w:val="291"/>
        </w:trPr>
        <w:tc>
          <w:tcPr>
            <w:tcW w:w="4717" w:type="dxa"/>
            <w:tcBorders>
              <w:top w:val="nil"/>
              <w:left w:val="single" w:sz="8"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Czynnik</w:t>
            </w:r>
          </w:p>
        </w:tc>
        <w:tc>
          <w:tcPr>
            <w:tcW w:w="1964"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Kierunek oceny</w:t>
            </w:r>
          </w:p>
        </w:tc>
        <w:tc>
          <w:tcPr>
            <w:tcW w:w="657"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Waga</w:t>
            </w:r>
          </w:p>
        </w:tc>
        <w:tc>
          <w:tcPr>
            <w:tcW w:w="716"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Ocena</w:t>
            </w:r>
          </w:p>
        </w:tc>
        <w:tc>
          <w:tcPr>
            <w:tcW w:w="591" w:type="dxa"/>
            <w:tcBorders>
              <w:top w:val="nil"/>
              <w:left w:val="single" w:sz="4" w:space="0" w:color="auto"/>
              <w:bottom w:val="single" w:sz="8" w:space="0" w:color="auto"/>
              <w:right w:val="single" w:sz="8" w:space="0" w:color="auto"/>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Siła</w:t>
            </w:r>
          </w:p>
        </w:tc>
      </w:tr>
      <w:tr w:rsidR="00E9755C" w:rsidRPr="00E9755C" w:rsidTr="00E9755C">
        <w:trPr>
          <w:trHeight w:val="275"/>
        </w:trPr>
        <w:tc>
          <w:tcPr>
            <w:tcW w:w="4717"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Konkurencja wśród dostawców</w:t>
            </w:r>
          </w:p>
        </w:tc>
        <w:tc>
          <w:tcPr>
            <w:tcW w:w="196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wysoka - niska</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0,16</w:t>
            </w:r>
          </w:p>
        </w:tc>
        <w:tc>
          <w:tcPr>
            <w:tcW w:w="71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-4</w:t>
            </w:r>
          </w:p>
        </w:tc>
        <w:tc>
          <w:tcPr>
            <w:tcW w:w="591"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-0,64</w:t>
            </w:r>
          </w:p>
        </w:tc>
      </w:tr>
      <w:tr w:rsidR="00E9755C" w:rsidRPr="00E9755C" w:rsidTr="00E9755C">
        <w:trPr>
          <w:trHeight w:val="275"/>
        </w:trPr>
        <w:tc>
          <w:tcPr>
            <w:tcW w:w="4717"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Znaczenie sektora dla dostawców</w:t>
            </w:r>
          </w:p>
        </w:tc>
        <w:tc>
          <w:tcPr>
            <w:tcW w:w="196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wysokie - nisko</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0,16</w:t>
            </w:r>
          </w:p>
        </w:tc>
        <w:tc>
          <w:tcPr>
            <w:tcW w:w="71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-4</w:t>
            </w:r>
          </w:p>
        </w:tc>
        <w:tc>
          <w:tcPr>
            <w:tcW w:w="591"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-0,64</w:t>
            </w:r>
          </w:p>
        </w:tc>
      </w:tr>
      <w:tr w:rsidR="00E9755C" w:rsidRPr="00E9755C" w:rsidTr="00E9755C">
        <w:trPr>
          <w:trHeight w:val="275"/>
        </w:trPr>
        <w:tc>
          <w:tcPr>
            <w:tcW w:w="4717"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Udział usług dostawców w kosztach sektora</w:t>
            </w:r>
          </w:p>
        </w:tc>
        <w:tc>
          <w:tcPr>
            <w:tcW w:w="196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wysoki - wysoko</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0,14</w:t>
            </w:r>
          </w:p>
        </w:tc>
        <w:tc>
          <w:tcPr>
            <w:tcW w:w="71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2</w:t>
            </w:r>
          </w:p>
        </w:tc>
        <w:tc>
          <w:tcPr>
            <w:tcW w:w="591"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0,28</w:t>
            </w:r>
          </w:p>
        </w:tc>
      </w:tr>
      <w:tr w:rsidR="00E9755C" w:rsidRPr="00E9755C" w:rsidTr="00E9755C">
        <w:trPr>
          <w:trHeight w:val="275"/>
        </w:trPr>
        <w:tc>
          <w:tcPr>
            <w:tcW w:w="4717"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Znaczenie dostaw dla rentowności sektora</w:t>
            </w:r>
          </w:p>
        </w:tc>
        <w:tc>
          <w:tcPr>
            <w:tcW w:w="196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duże - wysoko</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0,12</w:t>
            </w:r>
          </w:p>
        </w:tc>
        <w:tc>
          <w:tcPr>
            <w:tcW w:w="71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2</w:t>
            </w:r>
          </w:p>
        </w:tc>
        <w:tc>
          <w:tcPr>
            <w:tcW w:w="591"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0,24</w:t>
            </w:r>
          </w:p>
        </w:tc>
      </w:tr>
      <w:tr w:rsidR="00E9755C" w:rsidRPr="00E9755C" w:rsidTr="00E9755C">
        <w:trPr>
          <w:trHeight w:val="275"/>
        </w:trPr>
        <w:tc>
          <w:tcPr>
            <w:tcW w:w="4717"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Liczba dostawców</w:t>
            </w:r>
          </w:p>
        </w:tc>
        <w:tc>
          <w:tcPr>
            <w:tcW w:w="196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wysoka - wysoka</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0,10</w:t>
            </w:r>
          </w:p>
        </w:tc>
        <w:tc>
          <w:tcPr>
            <w:tcW w:w="71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3</w:t>
            </w:r>
          </w:p>
        </w:tc>
        <w:tc>
          <w:tcPr>
            <w:tcW w:w="591"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0,30</w:t>
            </w:r>
          </w:p>
        </w:tc>
      </w:tr>
      <w:tr w:rsidR="00E9755C" w:rsidRPr="00E9755C" w:rsidTr="00E9755C">
        <w:trPr>
          <w:trHeight w:val="275"/>
        </w:trPr>
        <w:tc>
          <w:tcPr>
            <w:tcW w:w="4717"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Zróżnicowanie usług dostawców</w:t>
            </w:r>
          </w:p>
        </w:tc>
        <w:tc>
          <w:tcPr>
            <w:tcW w:w="196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wysokie - wysoko</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0,08</w:t>
            </w:r>
          </w:p>
        </w:tc>
        <w:tc>
          <w:tcPr>
            <w:tcW w:w="71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2</w:t>
            </w:r>
          </w:p>
        </w:tc>
        <w:tc>
          <w:tcPr>
            <w:tcW w:w="591"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0,16</w:t>
            </w:r>
          </w:p>
        </w:tc>
      </w:tr>
      <w:tr w:rsidR="00E9755C" w:rsidRPr="00E9755C" w:rsidTr="00E9755C">
        <w:trPr>
          <w:trHeight w:val="275"/>
        </w:trPr>
        <w:tc>
          <w:tcPr>
            <w:tcW w:w="4717"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Niepowtarzalność usługi dostawcy</w:t>
            </w:r>
          </w:p>
        </w:tc>
        <w:tc>
          <w:tcPr>
            <w:tcW w:w="196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wysoka - wysoko</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0,06</w:t>
            </w:r>
          </w:p>
        </w:tc>
        <w:tc>
          <w:tcPr>
            <w:tcW w:w="71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1</w:t>
            </w:r>
          </w:p>
        </w:tc>
        <w:tc>
          <w:tcPr>
            <w:tcW w:w="591"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0,06</w:t>
            </w:r>
          </w:p>
        </w:tc>
      </w:tr>
      <w:tr w:rsidR="00E9755C" w:rsidRPr="00E9755C" w:rsidTr="00E9755C">
        <w:trPr>
          <w:trHeight w:val="275"/>
        </w:trPr>
        <w:tc>
          <w:tcPr>
            <w:tcW w:w="4717"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Koszty zmiany dostawcy dla sektora</w:t>
            </w:r>
          </w:p>
        </w:tc>
        <w:tc>
          <w:tcPr>
            <w:tcW w:w="196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wysoki - wysoko</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0,06</w:t>
            </w:r>
          </w:p>
        </w:tc>
        <w:tc>
          <w:tcPr>
            <w:tcW w:w="71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-3</w:t>
            </w:r>
          </w:p>
        </w:tc>
        <w:tc>
          <w:tcPr>
            <w:tcW w:w="591"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-0,18</w:t>
            </w:r>
          </w:p>
        </w:tc>
      </w:tr>
      <w:tr w:rsidR="00E9755C" w:rsidRPr="00E9755C" w:rsidTr="00E9755C">
        <w:trPr>
          <w:trHeight w:val="275"/>
        </w:trPr>
        <w:tc>
          <w:tcPr>
            <w:tcW w:w="4717"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Groźba integracji w przód dostawców</w:t>
            </w:r>
          </w:p>
        </w:tc>
        <w:tc>
          <w:tcPr>
            <w:tcW w:w="196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wysoka - wysoko</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0,06</w:t>
            </w:r>
          </w:p>
        </w:tc>
        <w:tc>
          <w:tcPr>
            <w:tcW w:w="71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-3</w:t>
            </w:r>
          </w:p>
        </w:tc>
        <w:tc>
          <w:tcPr>
            <w:tcW w:w="591"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-0,18</w:t>
            </w:r>
          </w:p>
        </w:tc>
      </w:tr>
      <w:tr w:rsidR="00E9755C" w:rsidRPr="00E9755C" w:rsidTr="00E9755C">
        <w:trPr>
          <w:trHeight w:val="275"/>
        </w:trPr>
        <w:tc>
          <w:tcPr>
            <w:tcW w:w="4717"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Dostępność substytutów</w:t>
            </w:r>
          </w:p>
        </w:tc>
        <w:tc>
          <w:tcPr>
            <w:tcW w:w="1964"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wysoka - nisko</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0,06</w:t>
            </w:r>
          </w:p>
        </w:tc>
        <w:tc>
          <w:tcPr>
            <w:tcW w:w="71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-1</w:t>
            </w:r>
          </w:p>
        </w:tc>
        <w:tc>
          <w:tcPr>
            <w:tcW w:w="591"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-0,06</w:t>
            </w:r>
          </w:p>
        </w:tc>
      </w:tr>
      <w:tr w:rsidR="00E9755C" w:rsidRPr="00E9755C" w:rsidTr="00E9755C">
        <w:trPr>
          <w:trHeight w:val="291"/>
        </w:trPr>
        <w:tc>
          <w:tcPr>
            <w:tcW w:w="4717" w:type="dxa"/>
            <w:tcBorders>
              <w:top w:val="nil"/>
              <w:left w:val="single" w:sz="8"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suma</w:t>
            </w:r>
          </w:p>
        </w:tc>
        <w:tc>
          <w:tcPr>
            <w:tcW w:w="1964"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 </w:t>
            </w:r>
          </w:p>
        </w:tc>
        <w:tc>
          <w:tcPr>
            <w:tcW w:w="657"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1,00</w:t>
            </w:r>
          </w:p>
        </w:tc>
        <w:tc>
          <w:tcPr>
            <w:tcW w:w="716"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 </w:t>
            </w:r>
          </w:p>
        </w:tc>
        <w:tc>
          <w:tcPr>
            <w:tcW w:w="591" w:type="dxa"/>
            <w:tcBorders>
              <w:top w:val="nil"/>
              <w:left w:val="single" w:sz="4" w:space="0" w:color="auto"/>
              <w:bottom w:val="single" w:sz="8" w:space="0" w:color="auto"/>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-0,66</w:t>
            </w:r>
          </w:p>
        </w:tc>
      </w:tr>
    </w:tbl>
    <w:p w:rsidR="00E9755C" w:rsidRPr="00567F66" w:rsidRDefault="00E9755C" w:rsidP="000F2100">
      <w:pPr>
        <w:spacing w:line="360" w:lineRule="auto"/>
        <w:rPr>
          <w:rFonts w:ascii="Times New Roman" w:hAnsi="Times New Roman" w:cs="Times New Roman"/>
          <w:sz w:val="4"/>
          <w:szCs w:val="4"/>
        </w:rPr>
      </w:pPr>
    </w:p>
    <w:tbl>
      <w:tblPr>
        <w:tblW w:w="8706" w:type="dxa"/>
        <w:tblInd w:w="55" w:type="dxa"/>
        <w:tblCellMar>
          <w:left w:w="70" w:type="dxa"/>
          <w:right w:w="70" w:type="dxa"/>
        </w:tblCellMar>
        <w:tblLook w:val="04A0" w:firstRow="1" w:lastRow="0" w:firstColumn="1" w:lastColumn="0" w:noHBand="0" w:noVBand="1"/>
      </w:tblPr>
      <w:tblGrid>
        <w:gridCol w:w="4923"/>
        <w:gridCol w:w="1892"/>
        <w:gridCol w:w="607"/>
        <w:gridCol w:w="325"/>
        <w:gridCol w:w="386"/>
        <w:gridCol w:w="303"/>
        <w:gridCol w:w="569"/>
      </w:tblGrid>
      <w:tr w:rsidR="00AF6F76" w:rsidRPr="00AF6F76" w:rsidTr="00567F66">
        <w:trPr>
          <w:trHeight w:val="263"/>
        </w:trPr>
        <w:tc>
          <w:tcPr>
            <w:tcW w:w="8706"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F6F76" w:rsidRPr="00AF6F76" w:rsidRDefault="00AF6F76" w:rsidP="00AF6F76">
            <w:pPr>
              <w:spacing w:after="0" w:line="240" w:lineRule="auto"/>
              <w:jc w:val="center"/>
              <w:rPr>
                <w:rFonts w:ascii="Times New Roman" w:eastAsia="Times New Roman" w:hAnsi="Times New Roman" w:cs="Times New Roman"/>
                <w:b/>
                <w:bCs/>
                <w:sz w:val="20"/>
                <w:szCs w:val="20"/>
                <w:lang w:eastAsia="pl-PL"/>
              </w:rPr>
            </w:pPr>
            <w:r w:rsidRPr="00AF6F76">
              <w:rPr>
                <w:rFonts w:ascii="Times New Roman" w:eastAsia="Times New Roman" w:hAnsi="Times New Roman" w:cs="Times New Roman"/>
                <w:b/>
                <w:bCs/>
                <w:sz w:val="20"/>
                <w:szCs w:val="20"/>
                <w:lang w:eastAsia="pl-PL"/>
              </w:rPr>
              <w:t>Siła przetargowa nabywców (dystrybutorów)</w:t>
            </w:r>
          </w:p>
        </w:tc>
      </w:tr>
      <w:tr w:rsidR="00AF6F76" w:rsidRPr="00AF6F76" w:rsidTr="00567F66">
        <w:trPr>
          <w:trHeight w:val="279"/>
        </w:trPr>
        <w:tc>
          <w:tcPr>
            <w:tcW w:w="4923" w:type="dxa"/>
            <w:tcBorders>
              <w:top w:val="nil"/>
              <w:left w:val="single" w:sz="8" w:space="0" w:color="auto"/>
              <w:bottom w:val="single" w:sz="8" w:space="0" w:color="auto"/>
              <w:right w:val="nil"/>
            </w:tcBorders>
            <w:shd w:val="clear" w:color="auto" w:fill="auto"/>
            <w:noWrap/>
            <w:vAlign w:val="bottom"/>
            <w:hideMark/>
          </w:tcPr>
          <w:p w:rsidR="00AF6F76" w:rsidRPr="00AF6F76" w:rsidRDefault="00AF6F76" w:rsidP="00AF6F76">
            <w:pPr>
              <w:spacing w:after="0" w:line="240" w:lineRule="auto"/>
              <w:jc w:val="center"/>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Czynnik</w:t>
            </w:r>
          </w:p>
        </w:tc>
        <w:tc>
          <w:tcPr>
            <w:tcW w:w="1892" w:type="dxa"/>
            <w:tcBorders>
              <w:top w:val="nil"/>
              <w:left w:val="single" w:sz="4" w:space="0" w:color="auto"/>
              <w:bottom w:val="single" w:sz="8" w:space="0" w:color="auto"/>
              <w:right w:val="nil"/>
            </w:tcBorders>
            <w:shd w:val="clear" w:color="auto" w:fill="auto"/>
            <w:noWrap/>
            <w:vAlign w:val="bottom"/>
            <w:hideMark/>
          </w:tcPr>
          <w:p w:rsidR="00AF6F76" w:rsidRPr="00AF6F76" w:rsidRDefault="00AF6F76" w:rsidP="00AF6F76">
            <w:pPr>
              <w:spacing w:after="0" w:line="240" w:lineRule="auto"/>
              <w:jc w:val="center"/>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Kierunek oceny</w:t>
            </w:r>
          </w:p>
        </w:tc>
        <w:tc>
          <w:tcPr>
            <w:tcW w:w="633" w:type="dxa"/>
            <w:gridSpan w:val="2"/>
            <w:tcBorders>
              <w:top w:val="nil"/>
              <w:left w:val="single" w:sz="4" w:space="0" w:color="auto"/>
              <w:bottom w:val="single" w:sz="8" w:space="0" w:color="auto"/>
              <w:right w:val="nil"/>
            </w:tcBorders>
            <w:shd w:val="clear" w:color="auto" w:fill="auto"/>
            <w:noWrap/>
            <w:vAlign w:val="bottom"/>
            <w:hideMark/>
          </w:tcPr>
          <w:p w:rsidR="00AF6F76" w:rsidRPr="00AF6F76" w:rsidRDefault="00AF6F76" w:rsidP="00AF6F76">
            <w:pPr>
              <w:spacing w:after="0" w:line="240" w:lineRule="auto"/>
              <w:jc w:val="center"/>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Waga</w:t>
            </w:r>
          </w:p>
        </w:tc>
        <w:tc>
          <w:tcPr>
            <w:tcW w:w="689" w:type="dxa"/>
            <w:gridSpan w:val="2"/>
            <w:tcBorders>
              <w:top w:val="nil"/>
              <w:left w:val="single" w:sz="4" w:space="0" w:color="auto"/>
              <w:bottom w:val="single" w:sz="8" w:space="0" w:color="auto"/>
              <w:right w:val="nil"/>
            </w:tcBorders>
            <w:shd w:val="clear" w:color="auto" w:fill="auto"/>
            <w:noWrap/>
            <w:vAlign w:val="bottom"/>
            <w:hideMark/>
          </w:tcPr>
          <w:p w:rsidR="00AF6F76" w:rsidRPr="00AF6F76" w:rsidRDefault="00AF6F76" w:rsidP="00AF6F76">
            <w:pPr>
              <w:spacing w:after="0" w:line="240" w:lineRule="auto"/>
              <w:jc w:val="center"/>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Ocena</w:t>
            </w:r>
          </w:p>
        </w:tc>
        <w:tc>
          <w:tcPr>
            <w:tcW w:w="569" w:type="dxa"/>
            <w:tcBorders>
              <w:top w:val="nil"/>
              <w:left w:val="single" w:sz="4" w:space="0" w:color="auto"/>
              <w:bottom w:val="single" w:sz="8" w:space="0" w:color="auto"/>
              <w:right w:val="single" w:sz="8" w:space="0" w:color="auto"/>
            </w:tcBorders>
            <w:shd w:val="clear" w:color="auto" w:fill="auto"/>
            <w:noWrap/>
            <w:vAlign w:val="bottom"/>
            <w:hideMark/>
          </w:tcPr>
          <w:p w:rsidR="00AF6F76" w:rsidRPr="00AF6F76" w:rsidRDefault="00AF6F76" w:rsidP="00AF6F76">
            <w:pPr>
              <w:spacing w:after="0" w:line="240" w:lineRule="auto"/>
              <w:jc w:val="center"/>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Siła</w:t>
            </w:r>
          </w:p>
        </w:tc>
      </w:tr>
      <w:tr w:rsidR="00AF6F76" w:rsidRPr="00AF6F76" w:rsidTr="00567F66">
        <w:trPr>
          <w:trHeight w:val="263"/>
        </w:trPr>
        <w:tc>
          <w:tcPr>
            <w:tcW w:w="4923" w:type="dxa"/>
            <w:tcBorders>
              <w:top w:val="nil"/>
              <w:left w:val="single" w:sz="8"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Koncentracja nabywców wobec sektora</w:t>
            </w:r>
          </w:p>
        </w:tc>
        <w:tc>
          <w:tcPr>
            <w:tcW w:w="1892" w:type="dxa"/>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wysoka - wysoka</w:t>
            </w:r>
          </w:p>
        </w:tc>
        <w:tc>
          <w:tcPr>
            <w:tcW w:w="633"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0,14</w:t>
            </w:r>
          </w:p>
        </w:tc>
        <w:tc>
          <w:tcPr>
            <w:tcW w:w="689"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5</w:t>
            </w:r>
          </w:p>
        </w:tc>
        <w:tc>
          <w:tcPr>
            <w:tcW w:w="569" w:type="dxa"/>
            <w:tcBorders>
              <w:top w:val="nil"/>
              <w:left w:val="single" w:sz="4" w:space="0" w:color="auto"/>
              <w:bottom w:val="nil"/>
              <w:right w:val="single" w:sz="8" w:space="0" w:color="auto"/>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0,70</w:t>
            </w:r>
          </w:p>
        </w:tc>
      </w:tr>
      <w:tr w:rsidR="00AF6F76" w:rsidRPr="00AF6F76" w:rsidTr="00567F66">
        <w:trPr>
          <w:trHeight w:val="263"/>
        </w:trPr>
        <w:tc>
          <w:tcPr>
            <w:tcW w:w="4923" w:type="dxa"/>
            <w:tcBorders>
              <w:top w:val="nil"/>
              <w:left w:val="single" w:sz="8"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Termin płatności nabywców</w:t>
            </w:r>
          </w:p>
        </w:tc>
        <w:tc>
          <w:tcPr>
            <w:tcW w:w="1892" w:type="dxa"/>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długi - wysoko</w:t>
            </w:r>
          </w:p>
        </w:tc>
        <w:tc>
          <w:tcPr>
            <w:tcW w:w="633"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0,14</w:t>
            </w:r>
          </w:p>
        </w:tc>
        <w:tc>
          <w:tcPr>
            <w:tcW w:w="689"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5</w:t>
            </w:r>
          </w:p>
        </w:tc>
        <w:tc>
          <w:tcPr>
            <w:tcW w:w="569" w:type="dxa"/>
            <w:tcBorders>
              <w:top w:val="nil"/>
              <w:left w:val="single" w:sz="4" w:space="0" w:color="auto"/>
              <w:bottom w:val="nil"/>
              <w:right w:val="single" w:sz="8" w:space="0" w:color="auto"/>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0,70</w:t>
            </w:r>
          </w:p>
        </w:tc>
      </w:tr>
      <w:tr w:rsidR="00AF6F76" w:rsidRPr="00AF6F76" w:rsidTr="00567F66">
        <w:trPr>
          <w:trHeight w:val="263"/>
        </w:trPr>
        <w:tc>
          <w:tcPr>
            <w:tcW w:w="4923" w:type="dxa"/>
            <w:tcBorders>
              <w:top w:val="nil"/>
              <w:left w:val="single" w:sz="8"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Wkład sektora w jakość oferty nabywcy</w:t>
            </w:r>
          </w:p>
        </w:tc>
        <w:tc>
          <w:tcPr>
            <w:tcW w:w="1892" w:type="dxa"/>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wysoki - nisko</w:t>
            </w:r>
          </w:p>
        </w:tc>
        <w:tc>
          <w:tcPr>
            <w:tcW w:w="633"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0,12</w:t>
            </w:r>
          </w:p>
        </w:tc>
        <w:tc>
          <w:tcPr>
            <w:tcW w:w="689"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-3</w:t>
            </w:r>
          </w:p>
        </w:tc>
        <w:tc>
          <w:tcPr>
            <w:tcW w:w="569" w:type="dxa"/>
            <w:tcBorders>
              <w:top w:val="nil"/>
              <w:left w:val="single" w:sz="4" w:space="0" w:color="auto"/>
              <w:bottom w:val="nil"/>
              <w:right w:val="single" w:sz="8" w:space="0" w:color="auto"/>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-0,36</w:t>
            </w:r>
          </w:p>
        </w:tc>
      </w:tr>
      <w:tr w:rsidR="00AF6F76" w:rsidRPr="00AF6F76" w:rsidTr="00567F66">
        <w:trPr>
          <w:trHeight w:val="263"/>
        </w:trPr>
        <w:tc>
          <w:tcPr>
            <w:tcW w:w="4923" w:type="dxa"/>
            <w:tcBorders>
              <w:top w:val="nil"/>
              <w:left w:val="single" w:sz="8"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Zróżnicowanie oferty</w:t>
            </w:r>
          </w:p>
        </w:tc>
        <w:tc>
          <w:tcPr>
            <w:tcW w:w="1892" w:type="dxa"/>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wysokie - nisko</w:t>
            </w:r>
          </w:p>
        </w:tc>
        <w:tc>
          <w:tcPr>
            <w:tcW w:w="633"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0,12</w:t>
            </w:r>
          </w:p>
        </w:tc>
        <w:tc>
          <w:tcPr>
            <w:tcW w:w="689"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-5</w:t>
            </w:r>
          </w:p>
        </w:tc>
        <w:tc>
          <w:tcPr>
            <w:tcW w:w="569" w:type="dxa"/>
            <w:tcBorders>
              <w:top w:val="nil"/>
              <w:left w:val="single" w:sz="4" w:space="0" w:color="auto"/>
              <w:bottom w:val="nil"/>
              <w:right w:val="single" w:sz="8" w:space="0" w:color="auto"/>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-0,60</w:t>
            </w:r>
          </w:p>
        </w:tc>
      </w:tr>
      <w:tr w:rsidR="00AF6F76" w:rsidRPr="00AF6F76" w:rsidTr="00567F66">
        <w:trPr>
          <w:trHeight w:val="263"/>
        </w:trPr>
        <w:tc>
          <w:tcPr>
            <w:tcW w:w="4923" w:type="dxa"/>
            <w:tcBorders>
              <w:top w:val="nil"/>
              <w:left w:val="single" w:sz="8"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Zyski nabywców</w:t>
            </w:r>
          </w:p>
        </w:tc>
        <w:tc>
          <w:tcPr>
            <w:tcW w:w="1892" w:type="dxa"/>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wysokie - nisko</w:t>
            </w:r>
          </w:p>
        </w:tc>
        <w:tc>
          <w:tcPr>
            <w:tcW w:w="633"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0,10</w:t>
            </w:r>
          </w:p>
        </w:tc>
        <w:tc>
          <w:tcPr>
            <w:tcW w:w="689"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1</w:t>
            </w:r>
          </w:p>
        </w:tc>
        <w:tc>
          <w:tcPr>
            <w:tcW w:w="569" w:type="dxa"/>
            <w:tcBorders>
              <w:top w:val="nil"/>
              <w:left w:val="single" w:sz="4" w:space="0" w:color="auto"/>
              <w:bottom w:val="nil"/>
              <w:right w:val="single" w:sz="8" w:space="0" w:color="auto"/>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0,10</w:t>
            </w:r>
          </w:p>
        </w:tc>
      </w:tr>
      <w:tr w:rsidR="00AF6F76" w:rsidRPr="00AF6F76" w:rsidTr="00567F66">
        <w:trPr>
          <w:trHeight w:val="263"/>
        </w:trPr>
        <w:tc>
          <w:tcPr>
            <w:tcW w:w="4923" w:type="dxa"/>
            <w:tcBorders>
              <w:top w:val="nil"/>
              <w:left w:val="single" w:sz="8"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Groźba integracji wstecz nabywców</w:t>
            </w:r>
          </w:p>
        </w:tc>
        <w:tc>
          <w:tcPr>
            <w:tcW w:w="1892" w:type="dxa"/>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wysokie - wysoko</w:t>
            </w:r>
          </w:p>
        </w:tc>
        <w:tc>
          <w:tcPr>
            <w:tcW w:w="633"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0,10</w:t>
            </w:r>
          </w:p>
        </w:tc>
        <w:tc>
          <w:tcPr>
            <w:tcW w:w="689"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4</w:t>
            </w:r>
          </w:p>
        </w:tc>
        <w:tc>
          <w:tcPr>
            <w:tcW w:w="569" w:type="dxa"/>
            <w:tcBorders>
              <w:top w:val="nil"/>
              <w:left w:val="single" w:sz="4" w:space="0" w:color="auto"/>
              <w:bottom w:val="nil"/>
              <w:right w:val="single" w:sz="8" w:space="0" w:color="auto"/>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0,40</w:t>
            </w:r>
          </w:p>
        </w:tc>
      </w:tr>
      <w:tr w:rsidR="00AF6F76" w:rsidRPr="00AF6F76" w:rsidTr="00567F66">
        <w:trPr>
          <w:trHeight w:val="263"/>
        </w:trPr>
        <w:tc>
          <w:tcPr>
            <w:tcW w:w="4923" w:type="dxa"/>
            <w:tcBorders>
              <w:top w:val="nil"/>
              <w:left w:val="single" w:sz="8"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Wolumen zakupu</w:t>
            </w:r>
          </w:p>
        </w:tc>
        <w:tc>
          <w:tcPr>
            <w:tcW w:w="1892" w:type="dxa"/>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wysoki - wysoko</w:t>
            </w:r>
          </w:p>
        </w:tc>
        <w:tc>
          <w:tcPr>
            <w:tcW w:w="633"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0,08</w:t>
            </w:r>
          </w:p>
        </w:tc>
        <w:tc>
          <w:tcPr>
            <w:tcW w:w="689"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5</w:t>
            </w:r>
          </w:p>
        </w:tc>
        <w:tc>
          <w:tcPr>
            <w:tcW w:w="569" w:type="dxa"/>
            <w:tcBorders>
              <w:top w:val="nil"/>
              <w:left w:val="single" w:sz="4" w:space="0" w:color="auto"/>
              <w:bottom w:val="nil"/>
              <w:right w:val="single" w:sz="8" w:space="0" w:color="auto"/>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0,40</w:t>
            </w:r>
          </w:p>
        </w:tc>
      </w:tr>
      <w:tr w:rsidR="00AF6F76" w:rsidRPr="00AF6F76" w:rsidTr="00567F66">
        <w:trPr>
          <w:trHeight w:val="263"/>
        </w:trPr>
        <w:tc>
          <w:tcPr>
            <w:tcW w:w="4923" w:type="dxa"/>
            <w:tcBorders>
              <w:top w:val="nil"/>
              <w:left w:val="single" w:sz="8"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Koszty zmiany dostawcy przez nabywców</w:t>
            </w:r>
          </w:p>
        </w:tc>
        <w:tc>
          <w:tcPr>
            <w:tcW w:w="1892" w:type="dxa"/>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niskie - wysoko</w:t>
            </w:r>
          </w:p>
        </w:tc>
        <w:tc>
          <w:tcPr>
            <w:tcW w:w="633"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0,08</w:t>
            </w:r>
          </w:p>
        </w:tc>
        <w:tc>
          <w:tcPr>
            <w:tcW w:w="689"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3</w:t>
            </w:r>
          </w:p>
        </w:tc>
        <w:tc>
          <w:tcPr>
            <w:tcW w:w="569" w:type="dxa"/>
            <w:tcBorders>
              <w:top w:val="nil"/>
              <w:left w:val="single" w:sz="4" w:space="0" w:color="auto"/>
              <w:bottom w:val="nil"/>
              <w:right w:val="single" w:sz="8" w:space="0" w:color="auto"/>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0,24</w:t>
            </w:r>
          </w:p>
        </w:tc>
      </w:tr>
      <w:tr w:rsidR="00AF6F76" w:rsidRPr="00AF6F76" w:rsidTr="00567F66">
        <w:trPr>
          <w:trHeight w:val="263"/>
        </w:trPr>
        <w:tc>
          <w:tcPr>
            <w:tcW w:w="4923" w:type="dxa"/>
            <w:tcBorders>
              <w:top w:val="nil"/>
              <w:left w:val="single" w:sz="8"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Liczba nabywców</w:t>
            </w:r>
          </w:p>
        </w:tc>
        <w:tc>
          <w:tcPr>
            <w:tcW w:w="1892" w:type="dxa"/>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wysoka - nisko</w:t>
            </w:r>
          </w:p>
        </w:tc>
        <w:tc>
          <w:tcPr>
            <w:tcW w:w="633"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0,06</w:t>
            </w:r>
          </w:p>
        </w:tc>
        <w:tc>
          <w:tcPr>
            <w:tcW w:w="689"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4</w:t>
            </w:r>
          </w:p>
        </w:tc>
        <w:tc>
          <w:tcPr>
            <w:tcW w:w="569" w:type="dxa"/>
            <w:tcBorders>
              <w:top w:val="nil"/>
              <w:left w:val="single" w:sz="4" w:space="0" w:color="auto"/>
              <w:bottom w:val="nil"/>
              <w:right w:val="single" w:sz="8" w:space="0" w:color="auto"/>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0,24</w:t>
            </w:r>
          </w:p>
        </w:tc>
      </w:tr>
      <w:tr w:rsidR="00AF6F76" w:rsidRPr="00AF6F76" w:rsidTr="00567F66">
        <w:trPr>
          <w:trHeight w:val="263"/>
        </w:trPr>
        <w:tc>
          <w:tcPr>
            <w:tcW w:w="4923" w:type="dxa"/>
            <w:tcBorders>
              <w:top w:val="nil"/>
              <w:left w:val="single" w:sz="8"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Udział sektora w tworzeniu kosztów nabywców</w:t>
            </w:r>
          </w:p>
        </w:tc>
        <w:tc>
          <w:tcPr>
            <w:tcW w:w="1892" w:type="dxa"/>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wysoki - wysoko</w:t>
            </w:r>
          </w:p>
        </w:tc>
        <w:tc>
          <w:tcPr>
            <w:tcW w:w="633"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0,06</w:t>
            </w:r>
          </w:p>
        </w:tc>
        <w:tc>
          <w:tcPr>
            <w:tcW w:w="689" w:type="dxa"/>
            <w:gridSpan w:val="2"/>
            <w:tcBorders>
              <w:top w:val="nil"/>
              <w:left w:val="single" w:sz="4" w:space="0" w:color="auto"/>
              <w:bottom w:val="nil"/>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3</w:t>
            </w:r>
          </w:p>
        </w:tc>
        <w:tc>
          <w:tcPr>
            <w:tcW w:w="569" w:type="dxa"/>
            <w:tcBorders>
              <w:top w:val="nil"/>
              <w:left w:val="single" w:sz="4" w:space="0" w:color="auto"/>
              <w:bottom w:val="nil"/>
              <w:right w:val="single" w:sz="8" w:space="0" w:color="auto"/>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0,18</w:t>
            </w:r>
          </w:p>
        </w:tc>
      </w:tr>
      <w:tr w:rsidR="00AF6F76" w:rsidRPr="00AF6F76" w:rsidTr="00567F66">
        <w:trPr>
          <w:trHeight w:val="279"/>
        </w:trPr>
        <w:tc>
          <w:tcPr>
            <w:tcW w:w="4923" w:type="dxa"/>
            <w:tcBorders>
              <w:top w:val="nil"/>
              <w:left w:val="single" w:sz="8" w:space="0" w:color="auto"/>
              <w:bottom w:val="single" w:sz="8" w:space="0" w:color="auto"/>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b/>
                <w:bCs/>
                <w:sz w:val="20"/>
                <w:szCs w:val="20"/>
                <w:lang w:eastAsia="pl-PL"/>
              </w:rPr>
            </w:pPr>
            <w:r w:rsidRPr="00AF6F76">
              <w:rPr>
                <w:rFonts w:ascii="Times New Roman" w:eastAsia="Times New Roman" w:hAnsi="Times New Roman" w:cs="Times New Roman"/>
                <w:b/>
                <w:bCs/>
                <w:sz w:val="20"/>
                <w:szCs w:val="20"/>
                <w:lang w:eastAsia="pl-PL"/>
              </w:rPr>
              <w:t>suma</w:t>
            </w:r>
          </w:p>
        </w:tc>
        <w:tc>
          <w:tcPr>
            <w:tcW w:w="1892" w:type="dxa"/>
            <w:tcBorders>
              <w:top w:val="nil"/>
              <w:left w:val="single" w:sz="4" w:space="0" w:color="auto"/>
              <w:bottom w:val="single" w:sz="8" w:space="0" w:color="auto"/>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 </w:t>
            </w:r>
          </w:p>
        </w:tc>
        <w:tc>
          <w:tcPr>
            <w:tcW w:w="633" w:type="dxa"/>
            <w:gridSpan w:val="2"/>
            <w:tcBorders>
              <w:top w:val="nil"/>
              <w:left w:val="single" w:sz="4" w:space="0" w:color="auto"/>
              <w:bottom w:val="single" w:sz="8" w:space="0" w:color="auto"/>
              <w:right w:val="nil"/>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b/>
                <w:bCs/>
                <w:sz w:val="20"/>
                <w:szCs w:val="20"/>
                <w:lang w:eastAsia="pl-PL"/>
              </w:rPr>
            </w:pPr>
            <w:r w:rsidRPr="00AF6F76">
              <w:rPr>
                <w:rFonts w:ascii="Times New Roman" w:eastAsia="Times New Roman" w:hAnsi="Times New Roman" w:cs="Times New Roman"/>
                <w:b/>
                <w:bCs/>
                <w:sz w:val="20"/>
                <w:szCs w:val="20"/>
                <w:lang w:eastAsia="pl-PL"/>
              </w:rPr>
              <w:t>1,00</w:t>
            </w:r>
          </w:p>
        </w:tc>
        <w:tc>
          <w:tcPr>
            <w:tcW w:w="689" w:type="dxa"/>
            <w:gridSpan w:val="2"/>
            <w:tcBorders>
              <w:top w:val="nil"/>
              <w:left w:val="single" w:sz="4" w:space="0" w:color="auto"/>
              <w:bottom w:val="single" w:sz="8" w:space="0" w:color="auto"/>
              <w:right w:val="nil"/>
            </w:tcBorders>
            <w:shd w:val="clear" w:color="auto" w:fill="auto"/>
            <w:noWrap/>
            <w:vAlign w:val="bottom"/>
            <w:hideMark/>
          </w:tcPr>
          <w:p w:rsidR="00AF6F76" w:rsidRPr="00AF6F76" w:rsidRDefault="00AF6F76" w:rsidP="00AF6F76">
            <w:pPr>
              <w:spacing w:after="0" w:line="240" w:lineRule="auto"/>
              <w:rPr>
                <w:rFonts w:ascii="Times New Roman" w:eastAsia="Times New Roman" w:hAnsi="Times New Roman" w:cs="Times New Roman"/>
                <w:sz w:val="20"/>
                <w:szCs w:val="20"/>
                <w:lang w:eastAsia="pl-PL"/>
              </w:rPr>
            </w:pPr>
            <w:r w:rsidRPr="00AF6F76">
              <w:rPr>
                <w:rFonts w:ascii="Times New Roman" w:eastAsia="Times New Roman" w:hAnsi="Times New Roman" w:cs="Times New Roman"/>
                <w:sz w:val="20"/>
                <w:szCs w:val="20"/>
                <w:lang w:eastAsia="pl-PL"/>
              </w:rPr>
              <w:t> </w:t>
            </w:r>
          </w:p>
        </w:tc>
        <w:tc>
          <w:tcPr>
            <w:tcW w:w="569" w:type="dxa"/>
            <w:tcBorders>
              <w:top w:val="nil"/>
              <w:left w:val="single" w:sz="4" w:space="0" w:color="auto"/>
              <w:bottom w:val="single" w:sz="8" w:space="0" w:color="auto"/>
              <w:right w:val="single" w:sz="8" w:space="0" w:color="auto"/>
            </w:tcBorders>
            <w:shd w:val="clear" w:color="auto" w:fill="auto"/>
            <w:noWrap/>
            <w:vAlign w:val="bottom"/>
            <w:hideMark/>
          </w:tcPr>
          <w:p w:rsidR="00AF6F76" w:rsidRPr="00AF6F76" w:rsidRDefault="00AF6F76" w:rsidP="00AF6F76">
            <w:pPr>
              <w:spacing w:after="0" w:line="240" w:lineRule="auto"/>
              <w:jc w:val="right"/>
              <w:rPr>
                <w:rFonts w:ascii="Times New Roman" w:eastAsia="Times New Roman" w:hAnsi="Times New Roman" w:cs="Times New Roman"/>
                <w:b/>
                <w:bCs/>
                <w:sz w:val="20"/>
                <w:szCs w:val="20"/>
                <w:lang w:eastAsia="pl-PL"/>
              </w:rPr>
            </w:pPr>
            <w:r w:rsidRPr="00AF6F76">
              <w:rPr>
                <w:rFonts w:ascii="Times New Roman" w:eastAsia="Times New Roman" w:hAnsi="Times New Roman" w:cs="Times New Roman"/>
                <w:b/>
                <w:bCs/>
                <w:sz w:val="20"/>
                <w:szCs w:val="20"/>
                <w:lang w:eastAsia="pl-PL"/>
              </w:rPr>
              <w:t>2,00</w:t>
            </w:r>
          </w:p>
        </w:tc>
      </w:tr>
      <w:tr w:rsidR="006D75A3" w:rsidRPr="006D75A3" w:rsidTr="005C19EB">
        <w:trPr>
          <w:trHeight w:val="255"/>
        </w:trPr>
        <w:tc>
          <w:tcPr>
            <w:tcW w:w="8706"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C19EB" w:rsidRDefault="005C19EB" w:rsidP="006D75A3">
            <w:pPr>
              <w:spacing w:after="0" w:line="240" w:lineRule="auto"/>
              <w:jc w:val="center"/>
              <w:rPr>
                <w:rFonts w:ascii="Times New Roman" w:eastAsia="Times New Roman" w:hAnsi="Times New Roman" w:cs="Times New Roman"/>
                <w:b/>
                <w:bCs/>
                <w:sz w:val="20"/>
                <w:szCs w:val="20"/>
                <w:lang w:eastAsia="pl-PL"/>
              </w:rPr>
            </w:pPr>
          </w:p>
          <w:p w:rsidR="006D75A3" w:rsidRPr="006D75A3" w:rsidRDefault="006D75A3" w:rsidP="006D75A3">
            <w:pPr>
              <w:spacing w:after="0" w:line="240" w:lineRule="auto"/>
              <w:jc w:val="center"/>
              <w:rPr>
                <w:rFonts w:ascii="Times New Roman" w:eastAsia="Times New Roman" w:hAnsi="Times New Roman" w:cs="Times New Roman"/>
                <w:b/>
                <w:bCs/>
                <w:sz w:val="20"/>
                <w:szCs w:val="20"/>
                <w:lang w:eastAsia="pl-PL"/>
              </w:rPr>
            </w:pPr>
            <w:r w:rsidRPr="006D75A3">
              <w:rPr>
                <w:rFonts w:ascii="Times New Roman" w:eastAsia="Times New Roman" w:hAnsi="Times New Roman" w:cs="Times New Roman"/>
                <w:b/>
                <w:bCs/>
                <w:sz w:val="20"/>
                <w:szCs w:val="20"/>
                <w:lang w:eastAsia="pl-PL"/>
              </w:rPr>
              <w:t>Natężenie konkurencji w sektorze</w:t>
            </w:r>
          </w:p>
        </w:tc>
      </w:tr>
      <w:tr w:rsidR="006D75A3" w:rsidRPr="006D75A3" w:rsidTr="005C19EB">
        <w:trPr>
          <w:trHeight w:val="270"/>
        </w:trPr>
        <w:tc>
          <w:tcPr>
            <w:tcW w:w="4923" w:type="dxa"/>
            <w:tcBorders>
              <w:top w:val="nil"/>
              <w:left w:val="single" w:sz="8" w:space="0" w:color="auto"/>
              <w:bottom w:val="single" w:sz="8" w:space="0" w:color="auto"/>
              <w:right w:val="nil"/>
            </w:tcBorders>
            <w:shd w:val="clear" w:color="auto" w:fill="auto"/>
            <w:noWrap/>
            <w:vAlign w:val="bottom"/>
            <w:hideMark/>
          </w:tcPr>
          <w:p w:rsidR="006D75A3" w:rsidRPr="006D75A3" w:rsidRDefault="006D75A3" w:rsidP="006D75A3">
            <w:pPr>
              <w:spacing w:after="0" w:line="240" w:lineRule="auto"/>
              <w:jc w:val="center"/>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Czynnik</w:t>
            </w:r>
          </w:p>
        </w:tc>
        <w:tc>
          <w:tcPr>
            <w:tcW w:w="1892" w:type="dxa"/>
            <w:tcBorders>
              <w:top w:val="nil"/>
              <w:left w:val="single" w:sz="4" w:space="0" w:color="auto"/>
              <w:bottom w:val="single" w:sz="8" w:space="0" w:color="auto"/>
              <w:right w:val="nil"/>
            </w:tcBorders>
            <w:shd w:val="clear" w:color="auto" w:fill="auto"/>
            <w:noWrap/>
            <w:vAlign w:val="bottom"/>
            <w:hideMark/>
          </w:tcPr>
          <w:p w:rsidR="006D75A3" w:rsidRPr="006D75A3" w:rsidRDefault="006D75A3" w:rsidP="006D75A3">
            <w:pPr>
              <w:spacing w:after="0" w:line="240" w:lineRule="auto"/>
              <w:jc w:val="center"/>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Kierunek oceny</w:t>
            </w:r>
          </w:p>
        </w:tc>
        <w:tc>
          <w:tcPr>
            <w:tcW w:w="308" w:type="dxa"/>
            <w:tcBorders>
              <w:top w:val="nil"/>
              <w:left w:val="single" w:sz="4" w:space="0" w:color="auto"/>
              <w:bottom w:val="single" w:sz="8" w:space="0" w:color="auto"/>
              <w:right w:val="nil"/>
            </w:tcBorders>
            <w:shd w:val="clear" w:color="auto" w:fill="auto"/>
            <w:noWrap/>
            <w:vAlign w:val="bottom"/>
            <w:hideMark/>
          </w:tcPr>
          <w:p w:rsidR="006D75A3" w:rsidRPr="006D75A3" w:rsidRDefault="006D75A3" w:rsidP="006D75A3">
            <w:pPr>
              <w:spacing w:after="0" w:line="240" w:lineRule="auto"/>
              <w:jc w:val="center"/>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Waga</w:t>
            </w:r>
          </w:p>
        </w:tc>
        <w:tc>
          <w:tcPr>
            <w:tcW w:w="711" w:type="dxa"/>
            <w:gridSpan w:val="2"/>
            <w:tcBorders>
              <w:top w:val="nil"/>
              <w:left w:val="single" w:sz="4" w:space="0" w:color="auto"/>
              <w:bottom w:val="single" w:sz="8" w:space="0" w:color="auto"/>
              <w:right w:val="nil"/>
            </w:tcBorders>
            <w:shd w:val="clear" w:color="auto" w:fill="auto"/>
            <w:noWrap/>
            <w:vAlign w:val="bottom"/>
            <w:hideMark/>
          </w:tcPr>
          <w:p w:rsidR="006D75A3" w:rsidRPr="006D75A3" w:rsidRDefault="006D75A3" w:rsidP="006D75A3">
            <w:pPr>
              <w:spacing w:after="0" w:line="240" w:lineRule="auto"/>
              <w:jc w:val="center"/>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Ocena</w:t>
            </w:r>
          </w:p>
        </w:tc>
        <w:tc>
          <w:tcPr>
            <w:tcW w:w="872" w:type="dxa"/>
            <w:gridSpan w:val="2"/>
            <w:tcBorders>
              <w:top w:val="nil"/>
              <w:left w:val="single" w:sz="4" w:space="0" w:color="auto"/>
              <w:bottom w:val="single" w:sz="8" w:space="0" w:color="auto"/>
              <w:right w:val="single" w:sz="8" w:space="0" w:color="auto"/>
            </w:tcBorders>
            <w:shd w:val="clear" w:color="auto" w:fill="auto"/>
            <w:noWrap/>
            <w:vAlign w:val="bottom"/>
            <w:hideMark/>
          </w:tcPr>
          <w:p w:rsidR="006D75A3" w:rsidRPr="006D75A3" w:rsidRDefault="006D75A3" w:rsidP="006D75A3">
            <w:pPr>
              <w:spacing w:after="0" w:line="240" w:lineRule="auto"/>
              <w:jc w:val="center"/>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Siła</w:t>
            </w:r>
          </w:p>
        </w:tc>
      </w:tr>
      <w:tr w:rsidR="006D75A3" w:rsidRPr="006D75A3" w:rsidTr="005C19EB">
        <w:trPr>
          <w:trHeight w:val="255"/>
        </w:trPr>
        <w:tc>
          <w:tcPr>
            <w:tcW w:w="4923" w:type="dxa"/>
            <w:tcBorders>
              <w:top w:val="nil"/>
              <w:left w:val="single" w:sz="8"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Termin płatności nabywców</w:t>
            </w:r>
          </w:p>
        </w:tc>
        <w:tc>
          <w:tcPr>
            <w:tcW w:w="1892"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długi - wysoko</w:t>
            </w:r>
          </w:p>
        </w:tc>
        <w:tc>
          <w:tcPr>
            <w:tcW w:w="308"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0,14</w:t>
            </w:r>
          </w:p>
        </w:tc>
        <w:tc>
          <w:tcPr>
            <w:tcW w:w="711" w:type="dxa"/>
            <w:gridSpan w:val="2"/>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5</w:t>
            </w:r>
          </w:p>
        </w:tc>
        <w:tc>
          <w:tcPr>
            <w:tcW w:w="872" w:type="dxa"/>
            <w:gridSpan w:val="2"/>
            <w:tcBorders>
              <w:top w:val="nil"/>
              <w:left w:val="single" w:sz="4" w:space="0" w:color="auto"/>
              <w:bottom w:val="nil"/>
              <w:right w:val="single" w:sz="8" w:space="0" w:color="auto"/>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0,70</w:t>
            </w:r>
          </w:p>
        </w:tc>
      </w:tr>
      <w:tr w:rsidR="006D75A3" w:rsidRPr="006D75A3" w:rsidTr="005C19EB">
        <w:trPr>
          <w:trHeight w:val="255"/>
        </w:trPr>
        <w:tc>
          <w:tcPr>
            <w:tcW w:w="4923" w:type="dxa"/>
            <w:tcBorders>
              <w:top w:val="nil"/>
              <w:left w:val="single" w:sz="8"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Liczba konkurentów</w:t>
            </w:r>
          </w:p>
        </w:tc>
        <w:tc>
          <w:tcPr>
            <w:tcW w:w="1892"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duża - wysoko</w:t>
            </w:r>
          </w:p>
        </w:tc>
        <w:tc>
          <w:tcPr>
            <w:tcW w:w="308"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0,14</w:t>
            </w:r>
          </w:p>
        </w:tc>
        <w:tc>
          <w:tcPr>
            <w:tcW w:w="711" w:type="dxa"/>
            <w:gridSpan w:val="2"/>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5</w:t>
            </w:r>
          </w:p>
        </w:tc>
        <w:tc>
          <w:tcPr>
            <w:tcW w:w="872" w:type="dxa"/>
            <w:gridSpan w:val="2"/>
            <w:tcBorders>
              <w:top w:val="nil"/>
              <w:left w:val="single" w:sz="4" w:space="0" w:color="auto"/>
              <w:bottom w:val="nil"/>
              <w:right w:val="single" w:sz="8" w:space="0" w:color="auto"/>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0,70</w:t>
            </w:r>
          </w:p>
        </w:tc>
      </w:tr>
      <w:tr w:rsidR="006D75A3" w:rsidRPr="006D75A3" w:rsidTr="005C19EB">
        <w:trPr>
          <w:trHeight w:val="255"/>
        </w:trPr>
        <w:tc>
          <w:tcPr>
            <w:tcW w:w="4923" w:type="dxa"/>
            <w:tcBorders>
              <w:top w:val="nil"/>
              <w:left w:val="single" w:sz="8"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Stopa wzrostu sektora</w:t>
            </w:r>
          </w:p>
        </w:tc>
        <w:tc>
          <w:tcPr>
            <w:tcW w:w="1892"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niska - wysoko</w:t>
            </w:r>
          </w:p>
        </w:tc>
        <w:tc>
          <w:tcPr>
            <w:tcW w:w="308"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0,12</w:t>
            </w:r>
          </w:p>
        </w:tc>
        <w:tc>
          <w:tcPr>
            <w:tcW w:w="711" w:type="dxa"/>
            <w:gridSpan w:val="2"/>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4</w:t>
            </w:r>
          </w:p>
        </w:tc>
        <w:tc>
          <w:tcPr>
            <w:tcW w:w="872" w:type="dxa"/>
            <w:gridSpan w:val="2"/>
            <w:tcBorders>
              <w:top w:val="nil"/>
              <w:left w:val="single" w:sz="4" w:space="0" w:color="auto"/>
              <w:bottom w:val="nil"/>
              <w:right w:val="single" w:sz="8" w:space="0" w:color="auto"/>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0,48</w:t>
            </w:r>
          </w:p>
        </w:tc>
      </w:tr>
      <w:tr w:rsidR="006D75A3" w:rsidRPr="006D75A3" w:rsidTr="005C19EB">
        <w:trPr>
          <w:trHeight w:val="255"/>
        </w:trPr>
        <w:tc>
          <w:tcPr>
            <w:tcW w:w="4923" w:type="dxa"/>
            <w:tcBorders>
              <w:top w:val="nil"/>
              <w:left w:val="single" w:sz="8"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Zróżnicowanie oferty sektora</w:t>
            </w:r>
          </w:p>
        </w:tc>
        <w:tc>
          <w:tcPr>
            <w:tcW w:w="1892"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wysokie - nisko</w:t>
            </w:r>
          </w:p>
        </w:tc>
        <w:tc>
          <w:tcPr>
            <w:tcW w:w="308"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0,12</w:t>
            </w:r>
          </w:p>
        </w:tc>
        <w:tc>
          <w:tcPr>
            <w:tcW w:w="711" w:type="dxa"/>
            <w:gridSpan w:val="2"/>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-5</w:t>
            </w:r>
          </w:p>
        </w:tc>
        <w:tc>
          <w:tcPr>
            <w:tcW w:w="872" w:type="dxa"/>
            <w:gridSpan w:val="2"/>
            <w:tcBorders>
              <w:top w:val="nil"/>
              <w:left w:val="single" w:sz="4" w:space="0" w:color="auto"/>
              <w:bottom w:val="nil"/>
              <w:right w:val="single" w:sz="8" w:space="0" w:color="auto"/>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-0,60</w:t>
            </w:r>
          </w:p>
        </w:tc>
      </w:tr>
      <w:tr w:rsidR="006D75A3" w:rsidRPr="006D75A3" w:rsidTr="005C19EB">
        <w:trPr>
          <w:trHeight w:val="255"/>
        </w:trPr>
        <w:tc>
          <w:tcPr>
            <w:tcW w:w="4923" w:type="dxa"/>
            <w:tcBorders>
              <w:top w:val="nil"/>
              <w:left w:val="single" w:sz="8"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Zróżnicowane działania konkurentów</w:t>
            </w:r>
          </w:p>
        </w:tc>
        <w:tc>
          <w:tcPr>
            <w:tcW w:w="1892"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wysokie - wysoko</w:t>
            </w:r>
          </w:p>
        </w:tc>
        <w:tc>
          <w:tcPr>
            <w:tcW w:w="308"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0,10</w:t>
            </w:r>
          </w:p>
        </w:tc>
        <w:tc>
          <w:tcPr>
            <w:tcW w:w="711" w:type="dxa"/>
            <w:gridSpan w:val="2"/>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-2</w:t>
            </w:r>
          </w:p>
        </w:tc>
        <w:tc>
          <w:tcPr>
            <w:tcW w:w="872" w:type="dxa"/>
            <w:gridSpan w:val="2"/>
            <w:tcBorders>
              <w:top w:val="nil"/>
              <w:left w:val="single" w:sz="4" w:space="0" w:color="auto"/>
              <w:bottom w:val="nil"/>
              <w:right w:val="single" w:sz="8" w:space="0" w:color="auto"/>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-0,20</w:t>
            </w:r>
          </w:p>
        </w:tc>
      </w:tr>
      <w:tr w:rsidR="006D75A3" w:rsidRPr="006D75A3" w:rsidTr="005C19EB">
        <w:trPr>
          <w:trHeight w:val="255"/>
        </w:trPr>
        <w:tc>
          <w:tcPr>
            <w:tcW w:w="4923" w:type="dxa"/>
            <w:tcBorders>
              <w:top w:val="nil"/>
              <w:left w:val="single" w:sz="8"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Przyrost możliwości wydawniczych</w:t>
            </w:r>
          </w:p>
        </w:tc>
        <w:tc>
          <w:tcPr>
            <w:tcW w:w="1892"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wysoki - wysoko</w:t>
            </w:r>
          </w:p>
        </w:tc>
        <w:tc>
          <w:tcPr>
            <w:tcW w:w="308"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0,10</w:t>
            </w:r>
          </w:p>
        </w:tc>
        <w:tc>
          <w:tcPr>
            <w:tcW w:w="711" w:type="dxa"/>
            <w:gridSpan w:val="2"/>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3</w:t>
            </w:r>
          </w:p>
        </w:tc>
        <w:tc>
          <w:tcPr>
            <w:tcW w:w="872" w:type="dxa"/>
            <w:gridSpan w:val="2"/>
            <w:tcBorders>
              <w:top w:val="nil"/>
              <w:left w:val="single" w:sz="4" w:space="0" w:color="auto"/>
              <w:bottom w:val="nil"/>
              <w:right w:val="single" w:sz="8" w:space="0" w:color="auto"/>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0,30</w:t>
            </w:r>
          </w:p>
        </w:tc>
      </w:tr>
      <w:tr w:rsidR="006D75A3" w:rsidRPr="006D75A3" w:rsidTr="005C19EB">
        <w:trPr>
          <w:trHeight w:val="255"/>
        </w:trPr>
        <w:tc>
          <w:tcPr>
            <w:tcW w:w="4923" w:type="dxa"/>
            <w:tcBorders>
              <w:top w:val="nil"/>
              <w:left w:val="single" w:sz="8"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Koszty zmiany dostawcy przez nabywców</w:t>
            </w:r>
          </w:p>
        </w:tc>
        <w:tc>
          <w:tcPr>
            <w:tcW w:w="1892"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niskie - wysoko</w:t>
            </w:r>
          </w:p>
        </w:tc>
        <w:tc>
          <w:tcPr>
            <w:tcW w:w="308"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0,08</w:t>
            </w:r>
          </w:p>
        </w:tc>
        <w:tc>
          <w:tcPr>
            <w:tcW w:w="711" w:type="dxa"/>
            <w:gridSpan w:val="2"/>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3</w:t>
            </w:r>
          </w:p>
        </w:tc>
        <w:tc>
          <w:tcPr>
            <w:tcW w:w="872" w:type="dxa"/>
            <w:gridSpan w:val="2"/>
            <w:tcBorders>
              <w:top w:val="nil"/>
              <w:left w:val="single" w:sz="4" w:space="0" w:color="auto"/>
              <w:bottom w:val="nil"/>
              <w:right w:val="single" w:sz="8" w:space="0" w:color="auto"/>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0,24</w:t>
            </w:r>
          </w:p>
        </w:tc>
      </w:tr>
      <w:tr w:rsidR="006D75A3" w:rsidRPr="006D75A3" w:rsidTr="005C19EB">
        <w:trPr>
          <w:trHeight w:val="255"/>
        </w:trPr>
        <w:tc>
          <w:tcPr>
            <w:tcW w:w="4923" w:type="dxa"/>
            <w:tcBorders>
              <w:top w:val="nil"/>
              <w:left w:val="single" w:sz="8"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Koszty stałe</w:t>
            </w:r>
          </w:p>
        </w:tc>
        <w:tc>
          <w:tcPr>
            <w:tcW w:w="1892"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wysokie - wysoko</w:t>
            </w:r>
          </w:p>
        </w:tc>
        <w:tc>
          <w:tcPr>
            <w:tcW w:w="308"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0,08</w:t>
            </w:r>
          </w:p>
        </w:tc>
        <w:tc>
          <w:tcPr>
            <w:tcW w:w="711" w:type="dxa"/>
            <w:gridSpan w:val="2"/>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-4</w:t>
            </w:r>
          </w:p>
        </w:tc>
        <w:tc>
          <w:tcPr>
            <w:tcW w:w="872" w:type="dxa"/>
            <w:gridSpan w:val="2"/>
            <w:tcBorders>
              <w:top w:val="nil"/>
              <w:left w:val="single" w:sz="4" w:space="0" w:color="auto"/>
              <w:bottom w:val="nil"/>
              <w:right w:val="single" w:sz="8" w:space="0" w:color="auto"/>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-0,32</w:t>
            </w:r>
          </w:p>
        </w:tc>
      </w:tr>
      <w:tr w:rsidR="006D75A3" w:rsidRPr="006D75A3" w:rsidTr="005C19EB">
        <w:trPr>
          <w:trHeight w:val="255"/>
        </w:trPr>
        <w:tc>
          <w:tcPr>
            <w:tcW w:w="4923" w:type="dxa"/>
            <w:tcBorders>
              <w:top w:val="nil"/>
              <w:left w:val="single" w:sz="8"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Koszty wyjścia z sektora</w:t>
            </w:r>
          </w:p>
        </w:tc>
        <w:tc>
          <w:tcPr>
            <w:tcW w:w="1892"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wysokie - nisko</w:t>
            </w:r>
          </w:p>
        </w:tc>
        <w:tc>
          <w:tcPr>
            <w:tcW w:w="308"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0,06</w:t>
            </w:r>
          </w:p>
        </w:tc>
        <w:tc>
          <w:tcPr>
            <w:tcW w:w="711" w:type="dxa"/>
            <w:gridSpan w:val="2"/>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4</w:t>
            </w:r>
          </w:p>
        </w:tc>
        <w:tc>
          <w:tcPr>
            <w:tcW w:w="872" w:type="dxa"/>
            <w:gridSpan w:val="2"/>
            <w:tcBorders>
              <w:top w:val="nil"/>
              <w:left w:val="single" w:sz="4" w:space="0" w:color="auto"/>
              <w:bottom w:val="nil"/>
              <w:right w:val="single" w:sz="8" w:space="0" w:color="auto"/>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0,24</w:t>
            </w:r>
          </w:p>
        </w:tc>
      </w:tr>
      <w:tr w:rsidR="006D75A3" w:rsidRPr="006D75A3" w:rsidTr="005C19EB">
        <w:trPr>
          <w:trHeight w:val="255"/>
        </w:trPr>
        <w:tc>
          <w:tcPr>
            <w:tcW w:w="4923" w:type="dxa"/>
            <w:tcBorders>
              <w:top w:val="nil"/>
              <w:left w:val="single" w:sz="8"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Udział długoterminowych kontraktów</w:t>
            </w:r>
          </w:p>
        </w:tc>
        <w:tc>
          <w:tcPr>
            <w:tcW w:w="1892"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niski - wysoko</w:t>
            </w:r>
          </w:p>
        </w:tc>
        <w:tc>
          <w:tcPr>
            <w:tcW w:w="308" w:type="dxa"/>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0,06</w:t>
            </w:r>
          </w:p>
        </w:tc>
        <w:tc>
          <w:tcPr>
            <w:tcW w:w="711" w:type="dxa"/>
            <w:gridSpan w:val="2"/>
            <w:tcBorders>
              <w:top w:val="nil"/>
              <w:left w:val="single" w:sz="4" w:space="0" w:color="auto"/>
              <w:bottom w:val="nil"/>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3</w:t>
            </w:r>
          </w:p>
        </w:tc>
        <w:tc>
          <w:tcPr>
            <w:tcW w:w="872" w:type="dxa"/>
            <w:gridSpan w:val="2"/>
            <w:tcBorders>
              <w:top w:val="nil"/>
              <w:left w:val="single" w:sz="4" w:space="0" w:color="auto"/>
              <w:bottom w:val="nil"/>
              <w:right w:val="single" w:sz="8" w:space="0" w:color="auto"/>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0,18</w:t>
            </w:r>
          </w:p>
        </w:tc>
      </w:tr>
      <w:tr w:rsidR="006D75A3" w:rsidRPr="006D75A3" w:rsidTr="005C19EB">
        <w:trPr>
          <w:trHeight w:val="270"/>
        </w:trPr>
        <w:tc>
          <w:tcPr>
            <w:tcW w:w="4923" w:type="dxa"/>
            <w:tcBorders>
              <w:top w:val="nil"/>
              <w:left w:val="single" w:sz="8" w:space="0" w:color="auto"/>
              <w:bottom w:val="single" w:sz="8" w:space="0" w:color="auto"/>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b/>
                <w:bCs/>
                <w:sz w:val="20"/>
                <w:szCs w:val="20"/>
                <w:lang w:eastAsia="pl-PL"/>
              </w:rPr>
            </w:pPr>
            <w:r w:rsidRPr="006D75A3">
              <w:rPr>
                <w:rFonts w:ascii="Times New Roman" w:eastAsia="Times New Roman" w:hAnsi="Times New Roman" w:cs="Times New Roman"/>
                <w:b/>
                <w:bCs/>
                <w:sz w:val="20"/>
                <w:szCs w:val="20"/>
                <w:lang w:eastAsia="pl-PL"/>
              </w:rPr>
              <w:t>suma</w:t>
            </w:r>
          </w:p>
        </w:tc>
        <w:tc>
          <w:tcPr>
            <w:tcW w:w="1892" w:type="dxa"/>
            <w:tcBorders>
              <w:top w:val="nil"/>
              <w:left w:val="single" w:sz="4" w:space="0" w:color="auto"/>
              <w:bottom w:val="single" w:sz="8" w:space="0" w:color="auto"/>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sz w:val="20"/>
                <w:szCs w:val="20"/>
                <w:lang w:eastAsia="pl-PL"/>
              </w:rPr>
            </w:pPr>
            <w:r w:rsidRPr="006D75A3">
              <w:rPr>
                <w:rFonts w:ascii="Times New Roman" w:eastAsia="Times New Roman" w:hAnsi="Times New Roman" w:cs="Times New Roman"/>
                <w:sz w:val="20"/>
                <w:szCs w:val="20"/>
                <w:lang w:eastAsia="pl-PL"/>
              </w:rPr>
              <w:t> </w:t>
            </w:r>
          </w:p>
        </w:tc>
        <w:tc>
          <w:tcPr>
            <w:tcW w:w="308" w:type="dxa"/>
            <w:tcBorders>
              <w:top w:val="nil"/>
              <w:left w:val="single" w:sz="4" w:space="0" w:color="auto"/>
              <w:bottom w:val="single" w:sz="8" w:space="0" w:color="auto"/>
              <w:right w:val="nil"/>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b/>
                <w:bCs/>
                <w:sz w:val="20"/>
                <w:szCs w:val="20"/>
                <w:lang w:eastAsia="pl-PL"/>
              </w:rPr>
            </w:pPr>
            <w:r w:rsidRPr="006D75A3">
              <w:rPr>
                <w:rFonts w:ascii="Times New Roman" w:eastAsia="Times New Roman" w:hAnsi="Times New Roman" w:cs="Times New Roman"/>
                <w:b/>
                <w:bCs/>
                <w:sz w:val="20"/>
                <w:szCs w:val="20"/>
                <w:lang w:eastAsia="pl-PL"/>
              </w:rPr>
              <w:t>1,00</w:t>
            </w:r>
          </w:p>
        </w:tc>
        <w:tc>
          <w:tcPr>
            <w:tcW w:w="711" w:type="dxa"/>
            <w:gridSpan w:val="2"/>
            <w:tcBorders>
              <w:top w:val="nil"/>
              <w:left w:val="single" w:sz="4" w:space="0" w:color="auto"/>
              <w:bottom w:val="single" w:sz="8" w:space="0" w:color="auto"/>
              <w:right w:val="nil"/>
            </w:tcBorders>
            <w:shd w:val="clear" w:color="auto" w:fill="auto"/>
            <w:noWrap/>
            <w:vAlign w:val="bottom"/>
            <w:hideMark/>
          </w:tcPr>
          <w:p w:rsidR="006D75A3" w:rsidRPr="006D75A3" w:rsidRDefault="006D75A3" w:rsidP="006D75A3">
            <w:pPr>
              <w:spacing w:after="0" w:line="240" w:lineRule="auto"/>
              <w:rPr>
                <w:rFonts w:ascii="Times New Roman" w:eastAsia="Times New Roman" w:hAnsi="Times New Roman" w:cs="Times New Roman"/>
                <w:b/>
                <w:bCs/>
                <w:sz w:val="20"/>
                <w:szCs w:val="20"/>
                <w:lang w:eastAsia="pl-PL"/>
              </w:rPr>
            </w:pPr>
            <w:r w:rsidRPr="006D75A3">
              <w:rPr>
                <w:rFonts w:ascii="Times New Roman" w:eastAsia="Times New Roman" w:hAnsi="Times New Roman" w:cs="Times New Roman"/>
                <w:b/>
                <w:bCs/>
                <w:sz w:val="20"/>
                <w:szCs w:val="20"/>
                <w:lang w:eastAsia="pl-PL"/>
              </w:rPr>
              <w:t> </w:t>
            </w:r>
          </w:p>
        </w:tc>
        <w:tc>
          <w:tcPr>
            <w:tcW w:w="872" w:type="dxa"/>
            <w:gridSpan w:val="2"/>
            <w:tcBorders>
              <w:top w:val="nil"/>
              <w:left w:val="single" w:sz="4" w:space="0" w:color="auto"/>
              <w:bottom w:val="single" w:sz="8" w:space="0" w:color="auto"/>
              <w:right w:val="single" w:sz="8" w:space="0" w:color="auto"/>
            </w:tcBorders>
            <w:shd w:val="clear" w:color="auto" w:fill="auto"/>
            <w:noWrap/>
            <w:vAlign w:val="bottom"/>
            <w:hideMark/>
          </w:tcPr>
          <w:p w:rsidR="006D75A3" w:rsidRPr="006D75A3" w:rsidRDefault="006D75A3" w:rsidP="006D75A3">
            <w:pPr>
              <w:spacing w:after="0" w:line="240" w:lineRule="auto"/>
              <w:jc w:val="right"/>
              <w:rPr>
                <w:rFonts w:ascii="Times New Roman" w:eastAsia="Times New Roman" w:hAnsi="Times New Roman" w:cs="Times New Roman"/>
                <w:b/>
                <w:bCs/>
                <w:sz w:val="20"/>
                <w:szCs w:val="20"/>
                <w:lang w:eastAsia="pl-PL"/>
              </w:rPr>
            </w:pPr>
            <w:r w:rsidRPr="006D75A3">
              <w:rPr>
                <w:rFonts w:ascii="Times New Roman" w:eastAsia="Times New Roman" w:hAnsi="Times New Roman" w:cs="Times New Roman"/>
                <w:b/>
                <w:bCs/>
                <w:sz w:val="20"/>
                <w:szCs w:val="20"/>
                <w:lang w:eastAsia="pl-PL"/>
              </w:rPr>
              <w:t>1,72</w:t>
            </w:r>
          </w:p>
        </w:tc>
      </w:tr>
    </w:tbl>
    <w:p w:rsidR="006D75A3" w:rsidRDefault="006D75A3" w:rsidP="000F2100">
      <w:pPr>
        <w:spacing w:line="360" w:lineRule="auto"/>
        <w:rPr>
          <w:rFonts w:ascii="Times New Roman" w:hAnsi="Times New Roman" w:cs="Times New Roman"/>
          <w:sz w:val="24"/>
          <w:szCs w:val="24"/>
        </w:rPr>
      </w:pPr>
    </w:p>
    <w:p w:rsidR="00E22F34" w:rsidRDefault="00E22F34" w:rsidP="000F2100">
      <w:pPr>
        <w:spacing w:line="360" w:lineRule="auto"/>
        <w:rPr>
          <w:rFonts w:ascii="Times New Roman" w:hAnsi="Times New Roman" w:cs="Times New Roman"/>
          <w:sz w:val="24"/>
          <w:szCs w:val="24"/>
        </w:rPr>
      </w:pPr>
    </w:p>
    <w:p w:rsidR="00E22F34" w:rsidRDefault="00E22F34" w:rsidP="000F2100">
      <w:pPr>
        <w:spacing w:line="360" w:lineRule="auto"/>
        <w:rPr>
          <w:rFonts w:ascii="Times New Roman" w:hAnsi="Times New Roman" w:cs="Times New Roman"/>
          <w:sz w:val="24"/>
          <w:szCs w:val="24"/>
        </w:rPr>
      </w:pPr>
    </w:p>
    <w:tbl>
      <w:tblPr>
        <w:tblW w:w="8795" w:type="dxa"/>
        <w:tblInd w:w="55" w:type="dxa"/>
        <w:tblCellMar>
          <w:left w:w="70" w:type="dxa"/>
          <w:right w:w="70" w:type="dxa"/>
        </w:tblCellMar>
        <w:tblLook w:val="04A0" w:firstRow="1" w:lastRow="0" w:firstColumn="1" w:lastColumn="0" w:noHBand="0" w:noVBand="1"/>
      </w:tblPr>
      <w:tblGrid>
        <w:gridCol w:w="4733"/>
        <w:gridCol w:w="2176"/>
        <w:gridCol w:w="640"/>
        <w:gridCol w:w="657"/>
        <w:gridCol w:w="589"/>
      </w:tblGrid>
      <w:tr w:rsidR="00E9755C" w:rsidRPr="00E9755C" w:rsidTr="00E9755C">
        <w:trPr>
          <w:trHeight w:val="278"/>
        </w:trPr>
        <w:tc>
          <w:tcPr>
            <w:tcW w:w="8795"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lastRenderedPageBreak/>
              <w:t>Groźba pojawienia się substytutów</w:t>
            </w:r>
          </w:p>
        </w:tc>
      </w:tr>
      <w:tr w:rsidR="00E9755C" w:rsidRPr="00E9755C" w:rsidTr="00E9755C">
        <w:trPr>
          <w:trHeight w:val="294"/>
        </w:trPr>
        <w:tc>
          <w:tcPr>
            <w:tcW w:w="4733" w:type="dxa"/>
            <w:tcBorders>
              <w:top w:val="nil"/>
              <w:left w:val="single" w:sz="8"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Czynnik</w:t>
            </w:r>
          </w:p>
        </w:tc>
        <w:tc>
          <w:tcPr>
            <w:tcW w:w="2176"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Kierunek oceny</w:t>
            </w:r>
          </w:p>
        </w:tc>
        <w:tc>
          <w:tcPr>
            <w:tcW w:w="640"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Waga</w:t>
            </w:r>
          </w:p>
        </w:tc>
        <w:tc>
          <w:tcPr>
            <w:tcW w:w="657"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Ocena</w:t>
            </w:r>
          </w:p>
        </w:tc>
        <w:tc>
          <w:tcPr>
            <w:tcW w:w="589" w:type="dxa"/>
            <w:tcBorders>
              <w:top w:val="nil"/>
              <w:left w:val="single" w:sz="4" w:space="0" w:color="auto"/>
              <w:bottom w:val="single" w:sz="8" w:space="0" w:color="auto"/>
              <w:right w:val="single" w:sz="8" w:space="0" w:color="auto"/>
            </w:tcBorders>
            <w:shd w:val="clear" w:color="auto" w:fill="auto"/>
            <w:noWrap/>
            <w:vAlign w:val="bottom"/>
            <w:hideMark/>
          </w:tcPr>
          <w:p w:rsidR="00E9755C" w:rsidRPr="00E9755C" w:rsidRDefault="00E9755C" w:rsidP="00E9755C">
            <w:pPr>
              <w:spacing w:after="0" w:line="240" w:lineRule="auto"/>
              <w:jc w:val="center"/>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Siła</w:t>
            </w:r>
          </w:p>
        </w:tc>
      </w:tr>
      <w:tr w:rsidR="00E9755C" w:rsidRPr="00E9755C" w:rsidTr="00E9755C">
        <w:trPr>
          <w:trHeight w:val="278"/>
        </w:trPr>
        <w:tc>
          <w:tcPr>
            <w:tcW w:w="4733"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Udział nowych potrzeb klientów nabywców</w:t>
            </w:r>
          </w:p>
        </w:tc>
        <w:tc>
          <w:tcPr>
            <w:tcW w:w="217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wysoki - wysoko</w:t>
            </w:r>
          </w:p>
        </w:tc>
        <w:tc>
          <w:tcPr>
            <w:tcW w:w="64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0,20</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4</w:t>
            </w:r>
          </w:p>
        </w:tc>
        <w:tc>
          <w:tcPr>
            <w:tcW w:w="589"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0,80</w:t>
            </w:r>
          </w:p>
        </w:tc>
      </w:tr>
      <w:tr w:rsidR="00E9755C" w:rsidRPr="00E9755C" w:rsidTr="00E9755C">
        <w:trPr>
          <w:trHeight w:val="278"/>
        </w:trPr>
        <w:tc>
          <w:tcPr>
            <w:tcW w:w="4733"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Zyskowność sektorów produkujących substytuty</w:t>
            </w:r>
          </w:p>
        </w:tc>
        <w:tc>
          <w:tcPr>
            <w:tcW w:w="217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wysoka - wysoko</w:t>
            </w:r>
          </w:p>
        </w:tc>
        <w:tc>
          <w:tcPr>
            <w:tcW w:w="64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0,20</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3</w:t>
            </w:r>
          </w:p>
        </w:tc>
        <w:tc>
          <w:tcPr>
            <w:tcW w:w="589"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0,60</w:t>
            </w:r>
          </w:p>
        </w:tc>
      </w:tr>
      <w:tr w:rsidR="00E9755C" w:rsidRPr="00E9755C" w:rsidTr="00E9755C">
        <w:trPr>
          <w:trHeight w:val="278"/>
        </w:trPr>
        <w:tc>
          <w:tcPr>
            <w:tcW w:w="4733"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Skuteczność cenowa substytutów</w:t>
            </w:r>
          </w:p>
        </w:tc>
        <w:tc>
          <w:tcPr>
            <w:tcW w:w="217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wysoka - wysoko</w:t>
            </w:r>
          </w:p>
        </w:tc>
        <w:tc>
          <w:tcPr>
            <w:tcW w:w="64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0,20</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1</w:t>
            </w:r>
          </w:p>
        </w:tc>
        <w:tc>
          <w:tcPr>
            <w:tcW w:w="589"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0,20</w:t>
            </w:r>
          </w:p>
        </w:tc>
      </w:tr>
      <w:tr w:rsidR="00E9755C" w:rsidRPr="00E9755C" w:rsidTr="00E9755C">
        <w:trPr>
          <w:trHeight w:val="278"/>
        </w:trPr>
        <w:tc>
          <w:tcPr>
            <w:tcW w:w="4733"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Skuteczność jakościowa substytutów</w:t>
            </w:r>
          </w:p>
        </w:tc>
        <w:tc>
          <w:tcPr>
            <w:tcW w:w="217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wysoka - wysoko</w:t>
            </w:r>
          </w:p>
        </w:tc>
        <w:tc>
          <w:tcPr>
            <w:tcW w:w="64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0,20</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1</w:t>
            </w:r>
          </w:p>
        </w:tc>
        <w:tc>
          <w:tcPr>
            <w:tcW w:w="589"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0,20</w:t>
            </w:r>
          </w:p>
        </w:tc>
      </w:tr>
      <w:tr w:rsidR="00E9755C" w:rsidRPr="00E9755C" w:rsidTr="00E9755C">
        <w:trPr>
          <w:trHeight w:val="278"/>
        </w:trPr>
        <w:tc>
          <w:tcPr>
            <w:tcW w:w="4733" w:type="dxa"/>
            <w:tcBorders>
              <w:top w:val="nil"/>
              <w:left w:val="single" w:sz="8"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Faza rozwoju substytutów</w:t>
            </w:r>
          </w:p>
        </w:tc>
        <w:tc>
          <w:tcPr>
            <w:tcW w:w="2176"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rozwój - nisko</w:t>
            </w:r>
          </w:p>
        </w:tc>
        <w:tc>
          <w:tcPr>
            <w:tcW w:w="640"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0,20</w:t>
            </w:r>
          </w:p>
        </w:tc>
        <w:tc>
          <w:tcPr>
            <w:tcW w:w="657" w:type="dxa"/>
            <w:tcBorders>
              <w:top w:val="nil"/>
              <w:left w:val="single" w:sz="4" w:space="0" w:color="auto"/>
              <w:bottom w:val="nil"/>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1</w:t>
            </w:r>
          </w:p>
        </w:tc>
        <w:tc>
          <w:tcPr>
            <w:tcW w:w="589" w:type="dxa"/>
            <w:tcBorders>
              <w:top w:val="nil"/>
              <w:left w:val="single" w:sz="4" w:space="0" w:color="auto"/>
              <w:bottom w:val="nil"/>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0,20</w:t>
            </w:r>
          </w:p>
        </w:tc>
      </w:tr>
      <w:tr w:rsidR="00E9755C" w:rsidRPr="00E9755C" w:rsidTr="00E9755C">
        <w:trPr>
          <w:trHeight w:val="294"/>
        </w:trPr>
        <w:tc>
          <w:tcPr>
            <w:tcW w:w="4733" w:type="dxa"/>
            <w:tcBorders>
              <w:top w:val="nil"/>
              <w:left w:val="single" w:sz="8"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 </w:t>
            </w:r>
          </w:p>
        </w:tc>
        <w:tc>
          <w:tcPr>
            <w:tcW w:w="2176"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sz w:val="20"/>
                <w:szCs w:val="20"/>
                <w:lang w:eastAsia="pl-PL"/>
              </w:rPr>
            </w:pPr>
            <w:r w:rsidRPr="00E9755C">
              <w:rPr>
                <w:rFonts w:ascii="Times New Roman" w:eastAsia="Times New Roman" w:hAnsi="Times New Roman" w:cs="Times New Roman"/>
                <w:sz w:val="20"/>
                <w:szCs w:val="20"/>
                <w:lang w:eastAsia="pl-PL"/>
              </w:rPr>
              <w:t> </w:t>
            </w:r>
          </w:p>
        </w:tc>
        <w:tc>
          <w:tcPr>
            <w:tcW w:w="640"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1,00</w:t>
            </w:r>
          </w:p>
        </w:tc>
        <w:tc>
          <w:tcPr>
            <w:tcW w:w="657" w:type="dxa"/>
            <w:tcBorders>
              <w:top w:val="nil"/>
              <w:left w:val="single" w:sz="4" w:space="0" w:color="auto"/>
              <w:bottom w:val="single" w:sz="8" w:space="0" w:color="auto"/>
              <w:right w:val="nil"/>
            </w:tcBorders>
            <w:shd w:val="clear" w:color="auto" w:fill="auto"/>
            <w:noWrap/>
            <w:vAlign w:val="bottom"/>
            <w:hideMark/>
          </w:tcPr>
          <w:p w:rsidR="00E9755C" w:rsidRPr="00E9755C" w:rsidRDefault="00E9755C" w:rsidP="00E9755C">
            <w:pPr>
              <w:spacing w:after="0" w:line="240" w:lineRule="auto"/>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 </w:t>
            </w:r>
          </w:p>
        </w:tc>
        <w:tc>
          <w:tcPr>
            <w:tcW w:w="589" w:type="dxa"/>
            <w:tcBorders>
              <w:top w:val="nil"/>
              <w:left w:val="single" w:sz="4" w:space="0" w:color="auto"/>
              <w:bottom w:val="single" w:sz="8" w:space="0" w:color="auto"/>
              <w:right w:val="single" w:sz="8" w:space="0" w:color="auto"/>
            </w:tcBorders>
            <w:shd w:val="clear" w:color="auto" w:fill="auto"/>
            <w:noWrap/>
            <w:vAlign w:val="bottom"/>
            <w:hideMark/>
          </w:tcPr>
          <w:p w:rsidR="00E9755C" w:rsidRPr="00E9755C" w:rsidRDefault="00E9755C" w:rsidP="00E9755C">
            <w:pPr>
              <w:spacing w:after="0" w:line="240" w:lineRule="auto"/>
              <w:jc w:val="right"/>
              <w:rPr>
                <w:rFonts w:ascii="Times New Roman" w:eastAsia="Times New Roman" w:hAnsi="Times New Roman" w:cs="Times New Roman"/>
                <w:b/>
                <w:bCs/>
                <w:sz w:val="20"/>
                <w:szCs w:val="20"/>
                <w:lang w:eastAsia="pl-PL"/>
              </w:rPr>
            </w:pPr>
            <w:r w:rsidRPr="00E9755C">
              <w:rPr>
                <w:rFonts w:ascii="Times New Roman" w:eastAsia="Times New Roman" w:hAnsi="Times New Roman" w:cs="Times New Roman"/>
                <w:b/>
                <w:bCs/>
                <w:sz w:val="20"/>
                <w:szCs w:val="20"/>
                <w:lang w:eastAsia="pl-PL"/>
              </w:rPr>
              <w:t>2,00</w:t>
            </w:r>
          </w:p>
        </w:tc>
      </w:tr>
    </w:tbl>
    <w:p w:rsidR="00DD4395" w:rsidRPr="00B60AE3" w:rsidRDefault="00DD4395" w:rsidP="00675BC6">
      <w:pPr>
        <w:spacing w:line="360" w:lineRule="auto"/>
        <w:rPr>
          <w:i/>
          <w:iCs/>
        </w:rPr>
      </w:pPr>
      <w:bookmarkStart w:id="2" w:name="OLE_LINK1"/>
      <w:bookmarkStart w:id="3" w:name="OLE_LINK2"/>
      <w:r w:rsidRPr="00B60AE3">
        <w:rPr>
          <w:i/>
          <w:iCs/>
        </w:rPr>
        <w:t>Źródło: opracowanie własne</w:t>
      </w:r>
    </w:p>
    <w:bookmarkEnd w:id="2"/>
    <w:bookmarkEnd w:id="3"/>
    <w:p w:rsidR="00DD4395" w:rsidRPr="00791178" w:rsidRDefault="00DD4395" w:rsidP="00710B2C">
      <w:pPr>
        <w:pStyle w:val="Akapitzlist"/>
        <w:spacing w:line="360" w:lineRule="auto"/>
        <w:ind w:left="0" w:firstLine="426"/>
        <w:jc w:val="both"/>
        <w:rPr>
          <w:rFonts w:ascii="Times New Roman" w:hAnsi="Times New Roman" w:cs="Times New Roman"/>
          <w:sz w:val="24"/>
          <w:szCs w:val="24"/>
          <w:u w:val="single"/>
        </w:rPr>
      </w:pPr>
      <w:r w:rsidRPr="00D123AA">
        <w:rPr>
          <w:rFonts w:ascii="Times New Roman" w:hAnsi="Times New Roman" w:cs="Times New Roman"/>
          <w:sz w:val="24"/>
          <w:szCs w:val="24"/>
        </w:rPr>
        <w:t xml:space="preserve">Groźba nowych wejść konkurencyjnych </w:t>
      </w:r>
      <w:r w:rsidR="00791178">
        <w:rPr>
          <w:rFonts w:ascii="Times New Roman" w:hAnsi="Times New Roman" w:cs="Times New Roman"/>
          <w:sz w:val="24"/>
          <w:szCs w:val="24"/>
        </w:rPr>
        <w:t xml:space="preserve">ma wielkość </w:t>
      </w:r>
      <w:r w:rsidR="00987082">
        <w:rPr>
          <w:rFonts w:ascii="Times New Roman" w:hAnsi="Times New Roman" w:cs="Times New Roman"/>
          <w:sz w:val="24"/>
          <w:szCs w:val="24"/>
        </w:rPr>
        <w:t>średnią</w:t>
      </w:r>
      <w:r w:rsidR="00ED2325">
        <w:rPr>
          <w:rFonts w:ascii="Times New Roman" w:hAnsi="Times New Roman" w:cs="Times New Roman"/>
          <w:sz w:val="24"/>
          <w:szCs w:val="24"/>
        </w:rPr>
        <w:t xml:space="preserve"> (0,80)</w:t>
      </w:r>
      <w:r w:rsidR="00791178">
        <w:rPr>
          <w:rFonts w:ascii="Times New Roman" w:hAnsi="Times New Roman" w:cs="Times New Roman"/>
          <w:sz w:val="24"/>
          <w:szCs w:val="24"/>
        </w:rPr>
        <w:t>. Na tę wartość „zapracował</w:t>
      </w:r>
      <w:r w:rsidR="006E2705">
        <w:rPr>
          <w:rFonts w:ascii="Times New Roman" w:hAnsi="Times New Roman" w:cs="Times New Roman"/>
          <w:sz w:val="24"/>
          <w:szCs w:val="24"/>
        </w:rPr>
        <w:t>o</w:t>
      </w:r>
      <w:r w:rsidR="00791178">
        <w:rPr>
          <w:rFonts w:ascii="Times New Roman" w:hAnsi="Times New Roman" w:cs="Times New Roman"/>
          <w:sz w:val="24"/>
          <w:szCs w:val="24"/>
        </w:rPr>
        <w:t xml:space="preserve">” </w:t>
      </w:r>
      <w:r w:rsidR="006E2705">
        <w:rPr>
          <w:rFonts w:ascii="Times New Roman" w:hAnsi="Times New Roman" w:cs="Times New Roman"/>
          <w:sz w:val="24"/>
          <w:szCs w:val="24"/>
        </w:rPr>
        <w:t>pięć</w:t>
      </w:r>
      <w:r w:rsidR="00791178">
        <w:rPr>
          <w:rFonts w:ascii="Times New Roman" w:hAnsi="Times New Roman" w:cs="Times New Roman"/>
          <w:sz w:val="24"/>
          <w:szCs w:val="24"/>
        </w:rPr>
        <w:t xml:space="preserve"> czynnik</w:t>
      </w:r>
      <w:r w:rsidR="006E2705">
        <w:rPr>
          <w:rFonts w:ascii="Times New Roman" w:hAnsi="Times New Roman" w:cs="Times New Roman"/>
          <w:sz w:val="24"/>
          <w:szCs w:val="24"/>
        </w:rPr>
        <w:t>ów</w:t>
      </w:r>
      <w:r w:rsidR="00791178">
        <w:rPr>
          <w:rFonts w:ascii="Times New Roman" w:hAnsi="Times New Roman" w:cs="Times New Roman"/>
          <w:sz w:val="24"/>
          <w:szCs w:val="24"/>
        </w:rPr>
        <w:t>. Niewielkie potrzeby kapitałowe i niekoniec</w:t>
      </w:r>
      <w:r w:rsidR="00F733BF">
        <w:rPr>
          <w:rFonts w:ascii="Times New Roman" w:hAnsi="Times New Roman" w:cs="Times New Roman"/>
          <w:sz w:val="24"/>
          <w:szCs w:val="24"/>
        </w:rPr>
        <w:t>znie duża skala przedsięwzięcia</w:t>
      </w:r>
      <w:r w:rsidR="00791178">
        <w:rPr>
          <w:rFonts w:ascii="Times New Roman" w:hAnsi="Times New Roman" w:cs="Times New Roman"/>
          <w:sz w:val="24"/>
          <w:szCs w:val="24"/>
        </w:rPr>
        <w:t xml:space="preserve"> wręcz odwrotnie. Powstają (co prawda równie często znikają) wydawnictwa bardzo małe przy niewielkim wkładzie własnym. Sprzyjającymi czynnikami było również łatwe wyjście z</w:t>
      </w:r>
      <w:r w:rsidR="00F13842">
        <w:rPr>
          <w:rFonts w:ascii="Times New Roman" w:hAnsi="Times New Roman" w:cs="Times New Roman"/>
          <w:sz w:val="24"/>
          <w:szCs w:val="24"/>
        </w:rPr>
        <w:t xml:space="preserve"> sektora oraz dostęp do autorów</w:t>
      </w:r>
      <w:r w:rsidR="00791178">
        <w:rPr>
          <w:rFonts w:ascii="Times New Roman" w:hAnsi="Times New Roman" w:cs="Times New Roman"/>
          <w:sz w:val="24"/>
          <w:szCs w:val="24"/>
        </w:rPr>
        <w:t xml:space="preserve"> </w:t>
      </w:r>
      <w:r w:rsidR="006E2705" w:rsidRPr="00E83292">
        <w:rPr>
          <w:rFonts w:ascii="Times New Roman" w:hAnsi="Times New Roman" w:cs="Times New Roman"/>
          <w:sz w:val="24"/>
          <w:szCs w:val="24"/>
        </w:rPr>
        <w:t>–</w:t>
      </w:r>
      <w:r w:rsidR="00791178">
        <w:rPr>
          <w:rFonts w:ascii="Times New Roman" w:hAnsi="Times New Roman" w:cs="Times New Roman"/>
          <w:sz w:val="24"/>
          <w:szCs w:val="24"/>
        </w:rPr>
        <w:t xml:space="preserve"> „każdy pisać może”. Ale w dużych wydawnictwach raczej następowały konsolidacje i opuszczanie polskiego rynku niż pojawianie się dużych graczy zewnętrznych. Powodem jest najpewniej niska stopa zwrotu </w:t>
      </w:r>
      <w:r w:rsidR="00ED2325">
        <w:rPr>
          <w:rFonts w:ascii="Times New Roman" w:hAnsi="Times New Roman" w:cs="Times New Roman"/>
          <w:sz w:val="24"/>
          <w:szCs w:val="24"/>
        </w:rPr>
        <w:t xml:space="preserve">z </w:t>
      </w:r>
      <w:r w:rsidR="00791178">
        <w:rPr>
          <w:rFonts w:ascii="Times New Roman" w:hAnsi="Times New Roman" w:cs="Times New Roman"/>
          <w:sz w:val="24"/>
          <w:szCs w:val="24"/>
        </w:rPr>
        <w:t>inwestycji.</w:t>
      </w:r>
    </w:p>
    <w:p w:rsidR="00ED2325" w:rsidRPr="00ED2325" w:rsidRDefault="00DD4395" w:rsidP="00710B2C">
      <w:pPr>
        <w:pStyle w:val="Akapitzlist"/>
        <w:spacing w:line="360" w:lineRule="auto"/>
        <w:ind w:left="0" w:firstLine="426"/>
        <w:jc w:val="both"/>
        <w:rPr>
          <w:rFonts w:ascii="Times New Roman" w:hAnsi="Times New Roman" w:cs="Times New Roman"/>
          <w:sz w:val="24"/>
          <w:szCs w:val="24"/>
        </w:rPr>
      </w:pPr>
      <w:r w:rsidRPr="00D123AA">
        <w:rPr>
          <w:rFonts w:ascii="Times New Roman" w:hAnsi="Times New Roman" w:cs="Times New Roman"/>
          <w:sz w:val="24"/>
          <w:szCs w:val="24"/>
        </w:rPr>
        <w:t>Siła przetargowa dostawców</w:t>
      </w:r>
      <w:r w:rsidR="00ED2325">
        <w:rPr>
          <w:rFonts w:ascii="Times New Roman" w:hAnsi="Times New Roman" w:cs="Times New Roman"/>
          <w:sz w:val="24"/>
          <w:szCs w:val="24"/>
        </w:rPr>
        <w:t>, którymi przede wszystkim są drukarnie, jest na niskim poziomie (-0,66). Dwa główne czynniki ciągnące drukarnie „w dół” to</w:t>
      </w:r>
      <w:r w:rsidR="002F5CC9">
        <w:rPr>
          <w:rFonts w:ascii="Times New Roman" w:hAnsi="Times New Roman" w:cs="Times New Roman"/>
          <w:sz w:val="24"/>
          <w:szCs w:val="24"/>
        </w:rPr>
        <w:t xml:space="preserve"> </w:t>
      </w:r>
      <w:r w:rsidR="00ED2325">
        <w:rPr>
          <w:rFonts w:ascii="Times New Roman" w:hAnsi="Times New Roman" w:cs="Times New Roman"/>
          <w:sz w:val="24"/>
          <w:szCs w:val="24"/>
        </w:rPr>
        <w:t xml:space="preserve">duża konkurencja wśród drukarń oraz </w:t>
      </w:r>
      <w:r w:rsidR="006D75A3">
        <w:rPr>
          <w:rFonts w:ascii="Times New Roman" w:hAnsi="Times New Roman" w:cs="Times New Roman"/>
          <w:sz w:val="24"/>
          <w:szCs w:val="24"/>
        </w:rPr>
        <w:t xml:space="preserve">duży </w:t>
      </w:r>
      <w:r w:rsidR="00ED2325">
        <w:rPr>
          <w:rFonts w:ascii="Times New Roman" w:hAnsi="Times New Roman" w:cs="Times New Roman"/>
          <w:sz w:val="24"/>
          <w:szCs w:val="24"/>
        </w:rPr>
        <w:t xml:space="preserve">udział </w:t>
      </w:r>
      <w:r w:rsidR="006D75A3">
        <w:rPr>
          <w:rFonts w:ascii="Times New Roman" w:hAnsi="Times New Roman" w:cs="Times New Roman"/>
          <w:sz w:val="24"/>
          <w:szCs w:val="24"/>
        </w:rPr>
        <w:t>książek</w:t>
      </w:r>
      <w:r w:rsidR="00ED2325">
        <w:rPr>
          <w:rFonts w:ascii="Times New Roman" w:hAnsi="Times New Roman" w:cs="Times New Roman"/>
          <w:sz w:val="24"/>
          <w:szCs w:val="24"/>
        </w:rPr>
        <w:t xml:space="preserve"> w produkcji drukarń dziełowych. W ostatnim okresie drukarnie dziełowe próbują </w:t>
      </w:r>
      <w:r w:rsidR="00073FAE">
        <w:rPr>
          <w:rFonts w:ascii="Times New Roman" w:hAnsi="Times New Roman" w:cs="Times New Roman"/>
          <w:sz w:val="24"/>
          <w:szCs w:val="24"/>
        </w:rPr>
        <w:t>zdywersyfikować</w:t>
      </w:r>
      <w:r w:rsidR="00ED2325">
        <w:rPr>
          <w:rFonts w:ascii="Times New Roman" w:hAnsi="Times New Roman" w:cs="Times New Roman"/>
          <w:sz w:val="24"/>
          <w:szCs w:val="24"/>
        </w:rPr>
        <w:t xml:space="preserve"> swoją działalność poprzez zainteresowanie rynkiem opakowań, ale wymaga to dużych inwestycji i zmian w technologii (np. przejście na fleksografię) oraz zmian w kompetencjach pracowników. </w:t>
      </w:r>
      <w:r w:rsidR="00462D12">
        <w:rPr>
          <w:rFonts w:ascii="Times New Roman" w:hAnsi="Times New Roman" w:cs="Times New Roman"/>
          <w:sz w:val="24"/>
          <w:szCs w:val="24"/>
        </w:rPr>
        <w:t xml:space="preserve">Trzecim elementem działającym na niekorzyść drukarń jest łatwość zmiany drukarni przez wydawnictwo bez konsekwencji finansowych, a obecnie i jakościowych. </w:t>
      </w:r>
      <w:r w:rsidR="00ED2325">
        <w:rPr>
          <w:rFonts w:ascii="Times New Roman" w:hAnsi="Times New Roman" w:cs="Times New Roman"/>
          <w:sz w:val="24"/>
          <w:szCs w:val="24"/>
        </w:rPr>
        <w:t xml:space="preserve">Należy zwrócić także uwagę </w:t>
      </w:r>
      <w:r w:rsidR="00462D12">
        <w:rPr>
          <w:rFonts w:ascii="Times New Roman" w:hAnsi="Times New Roman" w:cs="Times New Roman"/>
          <w:sz w:val="24"/>
          <w:szCs w:val="24"/>
        </w:rPr>
        <w:t>na łączenia działalności poligraficznej z działalnością wydawniczą, a czasami i dystrybucyjną.</w:t>
      </w:r>
    </w:p>
    <w:p w:rsidR="00F733BF" w:rsidRDefault="00DD4395" w:rsidP="00710B2C">
      <w:pPr>
        <w:pStyle w:val="Akapitzlist"/>
        <w:spacing w:line="360" w:lineRule="auto"/>
        <w:ind w:left="0" w:firstLine="426"/>
        <w:jc w:val="both"/>
        <w:rPr>
          <w:rFonts w:ascii="Times New Roman" w:hAnsi="Times New Roman" w:cs="Times New Roman"/>
          <w:sz w:val="24"/>
          <w:szCs w:val="24"/>
        </w:rPr>
      </w:pPr>
      <w:r w:rsidRPr="00D123AA">
        <w:rPr>
          <w:rFonts w:ascii="Times New Roman" w:hAnsi="Times New Roman" w:cs="Times New Roman"/>
          <w:sz w:val="24"/>
          <w:szCs w:val="24"/>
        </w:rPr>
        <w:t>Siła przetargowa nabywców (</w:t>
      </w:r>
      <w:r w:rsidR="00462D12">
        <w:rPr>
          <w:rFonts w:ascii="Times New Roman" w:hAnsi="Times New Roman" w:cs="Times New Roman"/>
          <w:sz w:val="24"/>
          <w:szCs w:val="24"/>
        </w:rPr>
        <w:t>dystrybutorów)</w:t>
      </w:r>
      <w:r w:rsidR="00E57015">
        <w:rPr>
          <w:rFonts w:ascii="Times New Roman" w:hAnsi="Times New Roman" w:cs="Times New Roman"/>
          <w:sz w:val="24"/>
          <w:szCs w:val="24"/>
        </w:rPr>
        <w:t xml:space="preserve"> jest duża (</w:t>
      </w:r>
      <w:r w:rsidR="00987082">
        <w:rPr>
          <w:rFonts w:ascii="Times New Roman" w:hAnsi="Times New Roman" w:cs="Times New Roman"/>
          <w:sz w:val="24"/>
          <w:szCs w:val="24"/>
        </w:rPr>
        <w:t>2,00),</w:t>
      </w:r>
      <w:r w:rsidR="00AF6F76">
        <w:rPr>
          <w:rFonts w:ascii="Times New Roman" w:hAnsi="Times New Roman" w:cs="Times New Roman"/>
          <w:sz w:val="24"/>
          <w:szCs w:val="24"/>
        </w:rPr>
        <w:t xml:space="preserve"> jeżeli byłyby robione </w:t>
      </w:r>
      <w:r w:rsidR="00987082">
        <w:rPr>
          <w:rFonts w:ascii="Times New Roman" w:hAnsi="Times New Roman" w:cs="Times New Roman"/>
          <w:sz w:val="24"/>
          <w:szCs w:val="24"/>
        </w:rPr>
        <w:t>wcześniej</w:t>
      </w:r>
      <w:r w:rsidR="002F5CC9">
        <w:rPr>
          <w:rFonts w:ascii="Times New Roman" w:hAnsi="Times New Roman" w:cs="Times New Roman"/>
          <w:sz w:val="24"/>
          <w:szCs w:val="24"/>
        </w:rPr>
        <w:t xml:space="preserve"> </w:t>
      </w:r>
      <w:r w:rsidR="00AF6F76">
        <w:rPr>
          <w:rFonts w:ascii="Times New Roman" w:hAnsi="Times New Roman" w:cs="Times New Roman"/>
          <w:sz w:val="24"/>
          <w:szCs w:val="24"/>
        </w:rPr>
        <w:t>podobne badania</w:t>
      </w:r>
      <w:r w:rsidR="00987082">
        <w:rPr>
          <w:rFonts w:ascii="Times New Roman" w:hAnsi="Times New Roman" w:cs="Times New Roman"/>
          <w:sz w:val="24"/>
          <w:szCs w:val="24"/>
        </w:rPr>
        <w:t>,</w:t>
      </w:r>
      <w:r w:rsidR="00AF6F76">
        <w:rPr>
          <w:rFonts w:ascii="Times New Roman" w:hAnsi="Times New Roman" w:cs="Times New Roman"/>
          <w:sz w:val="24"/>
          <w:szCs w:val="24"/>
        </w:rPr>
        <w:t xml:space="preserve"> to prawdopodobnie wykazałyby, że dalej rośnie. </w:t>
      </w:r>
      <w:r w:rsidR="00987082">
        <w:rPr>
          <w:rFonts w:ascii="Times New Roman" w:hAnsi="Times New Roman" w:cs="Times New Roman"/>
          <w:sz w:val="24"/>
          <w:szCs w:val="24"/>
        </w:rPr>
        <w:t>Główne czynniki to niewielka liczba, ale bardzo silnych dystrybutorów oraz wydłużanie terminów płatności.</w:t>
      </w:r>
      <w:r w:rsidR="00AF29F4">
        <w:rPr>
          <w:rFonts w:ascii="Times New Roman" w:hAnsi="Times New Roman" w:cs="Times New Roman"/>
          <w:sz w:val="24"/>
          <w:szCs w:val="24"/>
        </w:rPr>
        <w:t xml:space="preserve"> </w:t>
      </w:r>
    </w:p>
    <w:p w:rsidR="006D75A3" w:rsidRDefault="00987082" w:rsidP="003A3F63">
      <w:pPr>
        <w:pStyle w:val="Akapitzlist"/>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Wydłużanie terminów płatności w umowach to jeden aspekt, ale drugi również ważny to faktyczne terminy płatności wydawnictwom przez dystrybutorów. </w:t>
      </w:r>
      <w:r w:rsidR="00592B59">
        <w:rPr>
          <w:rFonts w:ascii="Times New Roman" w:hAnsi="Times New Roman" w:cs="Times New Roman"/>
          <w:sz w:val="24"/>
          <w:szCs w:val="24"/>
        </w:rPr>
        <w:t xml:space="preserve">I jeszcze jeden element siły dystrybutorów, niektórzy „wchodzą” na teren wydawniczy otwierając nową działalność wydawniczą lub przejmując istniejące wydawnictwa. </w:t>
      </w:r>
    </w:p>
    <w:p w:rsidR="00AF29F4" w:rsidRDefault="00AF29F4" w:rsidP="00710B2C">
      <w:pPr>
        <w:pStyle w:val="Akapitzlist"/>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Natężenie konkurencji w sektorze również jest duże (1,72). Czynnikami decydującymi o takim stanie rzeczy są: kłopoty z płynnością gotówkową wynikającą z długich i nieterminowych płatności, duża liczba konkurentów w zasadzie w każdej niszy wydawniczej, niska stopa wzrostu sektora – wolny rozwój i jednocześnie duży przyrost możliwości wydawniczych.</w:t>
      </w:r>
    </w:p>
    <w:p w:rsidR="00592B59" w:rsidRPr="00D123AA" w:rsidRDefault="00592B59" w:rsidP="00710B2C">
      <w:pPr>
        <w:pStyle w:val="Akapitzlist"/>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W niniejszym opracowaniu</w:t>
      </w:r>
      <w:r w:rsidR="00A31D32">
        <w:rPr>
          <w:rFonts w:ascii="Times New Roman" w:hAnsi="Times New Roman" w:cs="Times New Roman"/>
          <w:sz w:val="24"/>
          <w:szCs w:val="24"/>
        </w:rPr>
        <w:t xml:space="preserve"> </w:t>
      </w:r>
      <w:r>
        <w:rPr>
          <w:rFonts w:ascii="Times New Roman" w:hAnsi="Times New Roman" w:cs="Times New Roman"/>
          <w:sz w:val="24"/>
          <w:szCs w:val="24"/>
        </w:rPr>
        <w:t>e-booki traktowane są jako substytut dla działalności wydawniczej</w:t>
      </w:r>
      <w:r w:rsidR="00F733BF">
        <w:rPr>
          <w:rFonts w:ascii="Times New Roman" w:hAnsi="Times New Roman" w:cs="Times New Roman"/>
          <w:sz w:val="24"/>
          <w:szCs w:val="24"/>
        </w:rPr>
        <w:t>,</w:t>
      </w:r>
      <w:r>
        <w:rPr>
          <w:rFonts w:ascii="Times New Roman" w:hAnsi="Times New Roman" w:cs="Times New Roman"/>
          <w:sz w:val="24"/>
          <w:szCs w:val="24"/>
        </w:rPr>
        <w:t xml:space="preserve"> ponieważ dla przeważającej części wydawców są nim</w:t>
      </w:r>
      <w:r w:rsidR="00F733BF">
        <w:rPr>
          <w:rFonts w:ascii="Times New Roman" w:hAnsi="Times New Roman" w:cs="Times New Roman"/>
          <w:sz w:val="24"/>
          <w:szCs w:val="24"/>
        </w:rPr>
        <w:t>i</w:t>
      </w:r>
      <w:r>
        <w:rPr>
          <w:rFonts w:ascii="Times New Roman" w:hAnsi="Times New Roman" w:cs="Times New Roman"/>
          <w:sz w:val="24"/>
          <w:szCs w:val="24"/>
        </w:rPr>
        <w:t xml:space="preserve">. Natomiast na pewno </w:t>
      </w:r>
      <w:r w:rsidR="00A31D32">
        <w:rPr>
          <w:rFonts w:ascii="Times New Roman" w:hAnsi="Times New Roman" w:cs="Times New Roman"/>
          <w:sz w:val="24"/>
          <w:szCs w:val="24"/>
        </w:rPr>
        <w:t xml:space="preserve">niedługo będą stanowiły jeden z rodzajów produktów wytwarzanych w wydawnictwach. Ich obecna siła jest duża (2,00), ale wynika raczej z potencjału niż realnego zagrożenia na dziś. Istotną </w:t>
      </w:r>
      <w:r w:rsidR="006D75A3">
        <w:rPr>
          <w:rFonts w:ascii="Times New Roman" w:hAnsi="Times New Roman" w:cs="Times New Roman"/>
          <w:sz w:val="24"/>
          <w:szCs w:val="24"/>
        </w:rPr>
        <w:t>przeszkodą</w:t>
      </w:r>
      <w:r w:rsidR="00A31D32">
        <w:rPr>
          <w:rFonts w:ascii="Times New Roman" w:hAnsi="Times New Roman" w:cs="Times New Roman"/>
          <w:sz w:val="24"/>
          <w:szCs w:val="24"/>
        </w:rPr>
        <w:t xml:space="preserve"> przed znacznie szybszą i szerszą ekspansją dla e-booka jest dziś jego wysoka cena, porównywalna do ceny książki papierowej.</w:t>
      </w:r>
      <w:r w:rsidR="00AF29F4" w:rsidRPr="00AF29F4">
        <w:rPr>
          <w:rFonts w:ascii="Times New Roman" w:hAnsi="Times New Roman" w:cs="Times New Roman"/>
          <w:sz w:val="24"/>
          <w:szCs w:val="24"/>
        </w:rPr>
        <w:t xml:space="preserve"> </w:t>
      </w:r>
      <w:r w:rsidR="00AF29F4">
        <w:rPr>
          <w:rFonts w:ascii="Times New Roman" w:hAnsi="Times New Roman" w:cs="Times New Roman"/>
          <w:sz w:val="24"/>
          <w:szCs w:val="24"/>
        </w:rPr>
        <w:t>Zagrożeniem dla wydawców są inne e-media, które powodują straty poprzez piractwo w internecie.</w:t>
      </w:r>
    </w:p>
    <w:p w:rsidR="00A5118D" w:rsidRPr="00F84B45" w:rsidRDefault="00A5118D" w:rsidP="00332277">
      <w:pPr>
        <w:pStyle w:val="Akapitzlist"/>
        <w:numPr>
          <w:ilvl w:val="2"/>
          <w:numId w:val="28"/>
        </w:numPr>
        <w:spacing w:line="360" w:lineRule="auto"/>
        <w:rPr>
          <w:rFonts w:ascii="Times New Roman" w:hAnsi="Times New Roman" w:cs="Times New Roman"/>
          <w:sz w:val="24"/>
          <w:szCs w:val="24"/>
        </w:rPr>
      </w:pPr>
      <w:r w:rsidRPr="00F84B45">
        <w:rPr>
          <w:rFonts w:ascii="Times New Roman" w:hAnsi="Times New Roman" w:cs="Times New Roman"/>
          <w:sz w:val="24"/>
          <w:szCs w:val="24"/>
        </w:rPr>
        <w:t>Media elektroniczne</w:t>
      </w:r>
    </w:p>
    <w:p w:rsidR="00A5118D" w:rsidRDefault="00F505E0" w:rsidP="00710B2C">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Media elektroniczne stanowią z jednej strony otoczenie konkurencyjne wydawnictw, a z drugiej strony są częścią tych wydawnictw. Problem mediów elektronicznych to nie tylko sprawa obiektywnej rzeczywistości rozwijających się technologii oraz nowych potrzeb czytelniczych, to także sprawa nieprawidłowości wynikających z piractwa intelektualnego. Opisu zjawiska piractwa niestety w tym opracowaniu nie będzie ze </w:t>
      </w:r>
      <w:r w:rsidR="00567F66">
        <w:rPr>
          <w:rFonts w:ascii="Times New Roman" w:hAnsi="Times New Roman" w:cs="Times New Roman"/>
          <w:sz w:val="24"/>
          <w:szCs w:val="24"/>
        </w:rPr>
        <w:t>względu brak</w:t>
      </w:r>
      <w:r>
        <w:rPr>
          <w:rFonts w:ascii="Times New Roman" w:hAnsi="Times New Roman" w:cs="Times New Roman"/>
          <w:sz w:val="24"/>
          <w:szCs w:val="24"/>
        </w:rPr>
        <w:t>… armat.  Natomiast r</w:t>
      </w:r>
      <w:r w:rsidR="00A5118D">
        <w:rPr>
          <w:rFonts w:ascii="Times New Roman" w:hAnsi="Times New Roman" w:cs="Times New Roman"/>
          <w:sz w:val="24"/>
          <w:szCs w:val="24"/>
        </w:rPr>
        <w:t xml:space="preserve">ok 2012 przyniósł kilka faktów, które </w:t>
      </w:r>
      <w:r>
        <w:rPr>
          <w:rFonts w:ascii="Times New Roman" w:hAnsi="Times New Roman" w:cs="Times New Roman"/>
          <w:sz w:val="24"/>
          <w:szCs w:val="24"/>
        </w:rPr>
        <w:t xml:space="preserve">warto zasygnalizować w celu </w:t>
      </w:r>
      <w:r w:rsidR="006D1E32">
        <w:rPr>
          <w:rFonts w:ascii="Times New Roman" w:hAnsi="Times New Roman" w:cs="Times New Roman"/>
          <w:sz w:val="24"/>
          <w:szCs w:val="24"/>
        </w:rPr>
        <w:t xml:space="preserve">lepszego </w:t>
      </w:r>
      <w:r>
        <w:rPr>
          <w:rFonts w:ascii="Times New Roman" w:hAnsi="Times New Roman" w:cs="Times New Roman"/>
          <w:sz w:val="24"/>
          <w:szCs w:val="24"/>
        </w:rPr>
        <w:t>zrozumienia</w:t>
      </w:r>
      <w:r w:rsidR="006D1E32">
        <w:rPr>
          <w:rFonts w:ascii="Times New Roman" w:hAnsi="Times New Roman" w:cs="Times New Roman"/>
          <w:sz w:val="24"/>
          <w:szCs w:val="24"/>
        </w:rPr>
        <w:t xml:space="preserve"> otoczenia rynku książki.</w:t>
      </w:r>
    </w:p>
    <w:p w:rsidR="00E22F34" w:rsidRDefault="00E22F34" w:rsidP="00710B2C">
      <w:pPr>
        <w:pStyle w:val="Akapitzlist"/>
        <w:spacing w:line="360" w:lineRule="auto"/>
        <w:ind w:left="0" w:firstLine="360"/>
        <w:jc w:val="both"/>
        <w:rPr>
          <w:rFonts w:ascii="Times New Roman" w:hAnsi="Times New Roman" w:cs="Times New Roman"/>
          <w:sz w:val="24"/>
          <w:szCs w:val="24"/>
        </w:rPr>
      </w:pPr>
    </w:p>
    <w:p w:rsidR="00E22F34" w:rsidRDefault="00E22F34" w:rsidP="00710B2C">
      <w:pPr>
        <w:pStyle w:val="Akapitzlist"/>
        <w:spacing w:line="360" w:lineRule="auto"/>
        <w:ind w:left="0" w:firstLine="360"/>
        <w:jc w:val="both"/>
        <w:rPr>
          <w:rFonts w:ascii="Times New Roman" w:hAnsi="Times New Roman" w:cs="Times New Roman"/>
          <w:sz w:val="24"/>
          <w:szCs w:val="24"/>
        </w:rPr>
      </w:pPr>
    </w:p>
    <w:p w:rsidR="00E22F34" w:rsidRDefault="00E22F34" w:rsidP="00710B2C">
      <w:pPr>
        <w:pStyle w:val="Akapitzlist"/>
        <w:spacing w:line="360" w:lineRule="auto"/>
        <w:ind w:left="0" w:firstLine="360"/>
        <w:jc w:val="both"/>
        <w:rPr>
          <w:rFonts w:ascii="Times New Roman" w:hAnsi="Times New Roman" w:cs="Times New Roman"/>
          <w:sz w:val="24"/>
          <w:szCs w:val="24"/>
        </w:rPr>
      </w:pPr>
    </w:p>
    <w:p w:rsidR="00A5118D" w:rsidRPr="00913E44" w:rsidRDefault="00567F66" w:rsidP="00913E44">
      <w:pPr>
        <w:ind w:firstLine="360"/>
        <w:rPr>
          <w:rFonts w:ascii="Arial" w:eastAsia="Times New Roman" w:hAnsi="Arial" w:cs="Arial"/>
          <w:b/>
          <w:bCs/>
          <w:sz w:val="20"/>
          <w:szCs w:val="20"/>
          <w:lang w:eastAsia="pl-PL"/>
        </w:rPr>
      </w:pPr>
      <w:r>
        <w:rPr>
          <w:rFonts w:ascii="Times New Roman" w:hAnsi="Times New Roman" w:cs="Times New Roman"/>
          <w:b/>
          <w:sz w:val="24"/>
          <w:szCs w:val="24"/>
        </w:rPr>
        <w:lastRenderedPageBreak/>
        <w:t>Wykorzystanie i</w:t>
      </w:r>
      <w:r w:rsidR="00A5118D" w:rsidRPr="00913E44">
        <w:rPr>
          <w:rFonts w:ascii="Times New Roman" w:hAnsi="Times New Roman" w:cs="Times New Roman"/>
          <w:b/>
          <w:sz w:val="24"/>
          <w:szCs w:val="24"/>
        </w:rPr>
        <w:t>nternetu w</w:t>
      </w:r>
      <w:r w:rsidR="00E22F34">
        <w:rPr>
          <w:rFonts w:ascii="Times New Roman" w:hAnsi="Times New Roman" w:cs="Times New Roman"/>
          <w:b/>
          <w:sz w:val="24"/>
          <w:szCs w:val="24"/>
        </w:rPr>
        <w:t>edłu</w:t>
      </w:r>
      <w:r w:rsidR="00A5118D" w:rsidRPr="00913E44">
        <w:rPr>
          <w:rFonts w:ascii="Times New Roman" w:hAnsi="Times New Roman" w:cs="Times New Roman"/>
          <w:b/>
          <w:sz w:val="24"/>
          <w:szCs w:val="24"/>
        </w:rPr>
        <w:t>g celu</w:t>
      </w:r>
    </w:p>
    <w:p w:rsidR="00A5118D" w:rsidRPr="00877515" w:rsidRDefault="00A5118D" w:rsidP="00A5118D">
      <w:r w:rsidRPr="003E4EC6">
        <w:rPr>
          <w:noProof/>
          <w:lang w:eastAsia="pl-PL"/>
        </w:rPr>
        <w:drawing>
          <wp:inline distT="0" distB="0" distL="0" distR="0">
            <wp:extent cx="5145834" cy="2477386"/>
            <wp:effectExtent l="19050" t="0" r="16716" b="0"/>
            <wp:docPr id="1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118D" w:rsidRPr="00FB7D8E" w:rsidRDefault="00A5118D" w:rsidP="00A5118D">
      <w:pPr>
        <w:pStyle w:val="Akapitzlist"/>
        <w:spacing w:line="360" w:lineRule="auto"/>
        <w:ind w:left="360"/>
        <w:rPr>
          <w:rFonts w:ascii="Times New Roman" w:hAnsi="Times New Roman" w:cs="Times New Roman"/>
          <w:sz w:val="24"/>
          <w:szCs w:val="24"/>
        </w:rPr>
      </w:pPr>
      <w:r w:rsidRPr="00785A50">
        <w:rPr>
          <w:i/>
          <w:iCs/>
        </w:rPr>
        <w:t>Źródło: opracowanie własne</w:t>
      </w:r>
      <w:r>
        <w:rPr>
          <w:i/>
          <w:iCs/>
        </w:rPr>
        <w:t xml:space="preserve"> na podstawie danych GUS</w:t>
      </w:r>
    </w:p>
    <w:p w:rsidR="00A5118D" w:rsidRPr="00F84B45" w:rsidRDefault="00A5118D"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Przez kilka lat wykorzystywanie </w:t>
      </w:r>
      <w:r w:rsidR="00AF29F4">
        <w:rPr>
          <w:rFonts w:ascii="Times New Roman" w:hAnsi="Times New Roman" w:cs="Times New Roman"/>
          <w:sz w:val="24"/>
          <w:szCs w:val="24"/>
        </w:rPr>
        <w:t>i</w:t>
      </w:r>
      <w:r>
        <w:rPr>
          <w:rFonts w:ascii="Times New Roman" w:hAnsi="Times New Roman" w:cs="Times New Roman"/>
          <w:sz w:val="24"/>
          <w:szCs w:val="24"/>
        </w:rPr>
        <w:t>nternetu do celów pozyskania informacji, przekazywania sobie wiadomości pocztą internetową i jeszcze parę innych potrzeb wyraźnie rosło z roku na rok. W zasadzie tylko czytanie on-line od 2008 roku prawie się nie zmieniało i nie przekraczało średn</w:t>
      </w:r>
      <w:r w:rsidR="00567F66">
        <w:rPr>
          <w:rFonts w:ascii="Times New Roman" w:hAnsi="Times New Roman" w:cs="Times New Roman"/>
          <w:sz w:val="24"/>
          <w:szCs w:val="24"/>
        </w:rPr>
        <w:t>io 20 proc.</w:t>
      </w:r>
      <w:r>
        <w:rPr>
          <w:rFonts w:ascii="Times New Roman" w:hAnsi="Times New Roman" w:cs="Times New Roman"/>
          <w:sz w:val="24"/>
          <w:szCs w:val="24"/>
        </w:rPr>
        <w:t xml:space="preserve"> populacji. Oczywiście w grupie młodzieży ta wielkość była wyższa o ok. 10</w:t>
      </w:r>
      <w:r w:rsidR="00567F66">
        <w:rPr>
          <w:rFonts w:ascii="Times New Roman" w:hAnsi="Times New Roman" w:cs="Times New Roman"/>
          <w:sz w:val="24"/>
          <w:szCs w:val="24"/>
        </w:rPr>
        <w:t xml:space="preserve"> proc.</w:t>
      </w:r>
      <w:r>
        <w:rPr>
          <w:rFonts w:ascii="Times New Roman" w:hAnsi="Times New Roman" w:cs="Times New Roman"/>
          <w:sz w:val="24"/>
          <w:szCs w:val="24"/>
        </w:rPr>
        <w:t xml:space="preserve"> Rok 2012 przyniósł duży skok do ponad 30</w:t>
      </w:r>
      <w:r w:rsidR="00567F66">
        <w:rPr>
          <w:rFonts w:ascii="Times New Roman" w:hAnsi="Times New Roman" w:cs="Times New Roman"/>
          <w:sz w:val="24"/>
          <w:szCs w:val="24"/>
        </w:rPr>
        <w:t xml:space="preserve"> proc.</w:t>
      </w:r>
      <w:r>
        <w:rPr>
          <w:rFonts w:ascii="Times New Roman" w:hAnsi="Times New Roman" w:cs="Times New Roman"/>
          <w:sz w:val="24"/>
          <w:szCs w:val="24"/>
        </w:rPr>
        <w:t xml:space="preserve"> średnio. Czy jest to chwilowa zmiana, czy trend okaże się w badaniu przyszłorocznym. Na pewno wraz wchodzeniem dzieci w wiek młodzieżowy i dorastaniem młodzieży średnia w naturalny sposób będzie się podwyższać, ale dlaczego nastąpiło to tak gwałtownie? </w:t>
      </w:r>
    </w:p>
    <w:p w:rsidR="00A5118D" w:rsidRDefault="00A5118D"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Nie ma badań w tym względzie, ale można założyć, że czytelnictwo on-line w Internecie bardziej dotyczy informacji prasowych niż czytania książek. Czytanie książek jako e-booki na stosownych urządzeniach</w:t>
      </w:r>
      <w:r w:rsidR="00716AF8">
        <w:rPr>
          <w:rFonts w:ascii="Times New Roman" w:hAnsi="Times New Roman" w:cs="Times New Roman"/>
          <w:sz w:val="24"/>
          <w:szCs w:val="24"/>
        </w:rPr>
        <w:t xml:space="preserve"> </w:t>
      </w:r>
      <w:r>
        <w:rPr>
          <w:rFonts w:ascii="Times New Roman" w:hAnsi="Times New Roman" w:cs="Times New Roman"/>
          <w:sz w:val="24"/>
          <w:szCs w:val="24"/>
        </w:rPr>
        <w:t>bardzo szybko się rozwija</w:t>
      </w:r>
      <w:r w:rsidR="00716AF8">
        <w:rPr>
          <w:rFonts w:ascii="Times New Roman" w:hAnsi="Times New Roman" w:cs="Times New Roman"/>
          <w:sz w:val="24"/>
          <w:szCs w:val="24"/>
        </w:rPr>
        <w:t>,</w:t>
      </w:r>
      <w:r>
        <w:rPr>
          <w:rFonts w:ascii="Times New Roman" w:hAnsi="Times New Roman" w:cs="Times New Roman"/>
          <w:sz w:val="24"/>
          <w:szCs w:val="24"/>
        </w:rPr>
        <w:t xml:space="preserve"> chociaż obecnie jest to jeszcze  niewielka część rynku czytelniczego. Rozwój już nie dotyczy tylko przekaźnika treści – zamiast papieru ekran e-czytnika, tabletu lub innego urządzenia mobilnego. Rozwój dotyczy również samej treści, która jest wzbogacana dodatkowymi informacj</w:t>
      </w:r>
      <w:r w:rsidR="006D1E32">
        <w:rPr>
          <w:rFonts w:ascii="Times New Roman" w:hAnsi="Times New Roman" w:cs="Times New Roman"/>
          <w:sz w:val="24"/>
          <w:szCs w:val="24"/>
        </w:rPr>
        <w:t>ami tekstowymi lub dźwiękowymi.</w:t>
      </w:r>
    </w:p>
    <w:p w:rsidR="005C19EB" w:rsidRDefault="005C19EB" w:rsidP="00567F66">
      <w:pPr>
        <w:pStyle w:val="Akapitzlist"/>
        <w:spacing w:line="360" w:lineRule="auto"/>
        <w:ind w:left="0" w:firstLine="360"/>
        <w:jc w:val="both"/>
        <w:rPr>
          <w:rFonts w:ascii="Times New Roman" w:hAnsi="Times New Roman" w:cs="Times New Roman"/>
          <w:sz w:val="24"/>
          <w:szCs w:val="24"/>
        </w:rPr>
      </w:pPr>
    </w:p>
    <w:p w:rsidR="00E75DCC" w:rsidRPr="00567F66" w:rsidRDefault="00E75DCC" w:rsidP="003A3F63">
      <w:pPr>
        <w:pStyle w:val="Akapitzlist"/>
        <w:numPr>
          <w:ilvl w:val="1"/>
          <w:numId w:val="28"/>
        </w:numPr>
        <w:spacing w:line="360" w:lineRule="auto"/>
        <w:ind w:left="993" w:hanging="567"/>
        <w:rPr>
          <w:rFonts w:ascii="Times New Roman" w:hAnsi="Times New Roman" w:cs="Times New Roman"/>
          <w:b/>
          <w:sz w:val="26"/>
          <w:szCs w:val="26"/>
        </w:rPr>
      </w:pPr>
      <w:r w:rsidRPr="00567F66">
        <w:rPr>
          <w:rFonts w:ascii="Times New Roman" w:hAnsi="Times New Roman" w:cs="Times New Roman"/>
          <w:b/>
          <w:sz w:val="26"/>
          <w:szCs w:val="26"/>
        </w:rPr>
        <w:lastRenderedPageBreak/>
        <w:t>Analiza rynku książki</w:t>
      </w:r>
    </w:p>
    <w:p w:rsidR="007D0C0C" w:rsidRPr="00567F66" w:rsidRDefault="007D0C0C" w:rsidP="007D0C0C">
      <w:pPr>
        <w:pStyle w:val="Akapitzlist"/>
        <w:numPr>
          <w:ilvl w:val="0"/>
          <w:numId w:val="12"/>
        </w:numPr>
        <w:spacing w:line="360" w:lineRule="auto"/>
        <w:rPr>
          <w:rFonts w:ascii="Times New Roman" w:hAnsi="Times New Roman" w:cs="Times New Roman"/>
          <w:vanish/>
          <w:sz w:val="26"/>
          <w:szCs w:val="26"/>
        </w:rPr>
      </w:pPr>
    </w:p>
    <w:p w:rsidR="007D0C0C" w:rsidRPr="00567F66" w:rsidRDefault="007D0C0C" w:rsidP="007D0C0C">
      <w:pPr>
        <w:pStyle w:val="Akapitzlist"/>
        <w:numPr>
          <w:ilvl w:val="0"/>
          <w:numId w:val="12"/>
        </w:numPr>
        <w:spacing w:line="360" w:lineRule="auto"/>
        <w:rPr>
          <w:rFonts w:ascii="Times New Roman" w:hAnsi="Times New Roman" w:cs="Times New Roman"/>
          <w:vanish/>
          <w:sz w:val="26"/>
          <w:szCs w:val="26"/>
        </w:rPr>
      </w:pPr>
    </w:p>
    <w:p w:rsidR="007D0C0C" w:rsidRPr="00567F66" w:rsidRDefault="007D0C0C" w:rsidP="007D0C0C">
      <w:pPr>
        <w:pStyle w:val="Akapitzlist"/>
        <w:numPr>
          <w:ilvl w:val="1"/>
          <w:numId w:val="12"/>
        </w:numPr>
        <w:spacing w:line="360" w:lineRule="auto"/>
        <w:rPr>
          <w:rFonts w:ascii="Times New Roman" w:hAnsi="Times New Roman" w:cs="Times New Roman"/>
          <w:vanish/>
          <w:sz w:val="26"/>
          <w:szCs w:val="26"/>
        </w:rPr>
      </w:pPr>
    </w:p>
    <w:p w:rsidR="007D0C0C" w:rsidRPr="00567F66" w:rsidRDefault="007D0C0C" w:rsidP="007D0C0C">
      <w:pPr>
        <w:pStyle w:val="Akapitzlist"/>
        <w:numPr>
          <w:ilvl w:val="1"/>
          <w:numId w:val="12"/>
        </w:numPr>
        <w:spacing w:line="360" w:lineRule="auto"/>
        <w:rPr>
          <w:rFonts w:ascii="Times New Roman" w:hAnsi="Times New Roman" w:cs="Times New Roman"/>
          <w:vanish/>
          <w:sz w:val="26"/>
          <w:szCs w:val="26"/>
        </w:rPr>
      </w:pPr>
    </w:p>
    <w:p w:rsidR="007D0C0C" w:rsidRPr="00567F66" w:rsidRDefault="007D0C0C" w:rsidP="007D0C0C">
      <w:pPr>
        <w:pStyle w:val="Akapitzlist"/>
        <w:numPr>
          <w:ilvl w:val="2"/>
          <w:numId w:val="12"/>
        </w:numPr>
        <w:spacing w:line="360" w:lineRule="auto"/>
        <w:rPr>
          <w:rFonts w:ascii="Times New Roman" w:hAnsi="Times New Roman" w:cs="Times New Roman"/>
          <w:vanish/>
          <w:sz w:val="26"/>
          <w:szCs w:val="26"/>
        </w:rPr>
      </w:pPr>
    </w:p>
    <w:p w:rsidR="003B50D4" w:rsidRPr="00567F66" w:rsidRDefault="00E75DCC" w:rsidP="00332277">
      <w:pPr>
        <w:pStyle w:val="Akapitzlist"/>
        <w:numPr>
          <w:ilvl w:val="2"/>
          <w:numId w:val="28"/>
        </w:numPr>
        <w:spacing w:line="360" w:lineRule="auto"/>
        <w:ind w:left="1985" w:hanging="851"/>
        <w:rPr>
          <w:rFonts w:ascii="Times New Roman" w:hAnsi="Times New Roman" w:cs="Times New Roman"/>
          <w:sz w:val="24"/>
          <w:szCs w:val="24"/>
        </w:rPr>
      </w:pPr>
      <w:r w:rsidRPr="00567F66">
        <w:rPr>
          <w:rFonts w:ascii="Times New Roman" w:hAnsi="Times New Roman" w:cs="Times New Roman"/>
          <w:sz w:val="24"/>
          <w:szCs w:val="24"/>
        </w:rPr>
        <w:t>Podstawowe dane o rynku książki</w:t>
      </w:r>
    </w:p>
    <w:p w:rsidR="00E75DCC" w:rsidRDefault="00E75DCC"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Analizując jakiś obszar należy opierać się o tzw. „twarde dane”, ale czasami jest kilka źródeł z danymi, które różnią się pomiędzy sobą. Tak jest w wypadku rynku książki, co pokazują poniższe </w:t>
      </w:r>
      <w:r w:rsidR="00716AF8">
        <w:rPr>
          <w:rFonts w:ascii="Times New Roman" w:hAnsi="Times New Roman" w:cs="Times New Roman"/>
          <w:sz w:val="24"/>
          <w:szCs w:val="24"/>
        </w:rPr>
        <w:t xml:space="preserve">trzy </w:t>
      </w:r>
      <w:r>
        <w:rPr>
          <w:rFonts w:ascii="Times New Roman" w:hAnsi="Times New Roman" w:cs="Times New Roman"/>
          <w:sz w:val="24"/>
          <w:szCs w:val="24"/>
        </w:rPr>
        <w:t xml:space="preserve">analizy wykonane tą samą metodą, ale wykorzystujące różne dane. W tym wypadku istotniejszy jest kierunek i poziom trendów niż bezwzględne wartości poszczególnych </w:t>
      </w:r>
      <w:r w:rsidR="00913E44">
        <w:rPr>
          <w:rFonts w:ascii="Times New Roman" w:hAnsi="Times New Roman" w:cs="Times New Roman"/>
          <w:sz w:val="24"/>
          <w:szCs w:val="24"/>
        </w:rPr>
        <w:t>wskaźników.</w:t>
      </w:r>
    </w:p>
    <w:p w:rsidR="00801E38" w:rsidRDefault="00801E38"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Przy analizie wzięto pod uwagę dane publikowane przez GUS</w:t>
      </w:r>
      <w:r w:rsidR="00C93FC4">
        <w:rPr>
          <w:rFonts w:ascii="Times New Roman" w:hAnsi="Times New Roman" w:cs="Times New Roman"/>
          <w:sz w:val="24"/>
          <w:szCs w:val="24"/>
        </w:rPr>
        <w:t>,</w:t>
      </w:r>
      <w:r>
        <w:rPr>
          <w:rFonts w:ascii="Times New Roman" w:hAnsi="Times New Roman" w:cs="Times New Roman"/>
          <w:sz w:val="24"/>
          <w:szCs w:val="24"/>
        </w:rPr>
        <w:t xml:space="preserve"> Bibliotekę Analiz</w:t>
      </w:r>
      <w:r w:rsidR="00C93FC4">
        <w:rPr>
          <w:rFonts w:ascii="Times New Roman" w:hAnsi="Times New Roman" w:cs="Times New Roman"/>
          <w:sz w:val="24"/>
          <w:szCs w:val="24"/>
        </w:rPr>
        <w:t xml:space="preserve"> oraz</w:t>
      </w:r>
      <w:r>
        <w:rPr>
          <w:rFonts w:ascii="Times New Roman" w:hAnsi="Times New Roman" w:cs="Times New Roman"/>
          <w:sz w:val="24"/>
          <w:szCs w:val="24"/>
        </w:rPr>
        <w:t xml:space="preserve"> Bibliotek</w:t>
      </w:r>
      <w:r w:rsidR="00C93FC4">
        <w:rPr>
          <w:rFonts w:ascii="Times New Roman" w:hAnsi="Times New Roman" w:cs="Times New Roman"/>
          <w:sz w:val="24"/>
          <w:szCs w:val="24"/>
        </w:rPr>
        <w:t>ę</w:t>
      </w:r>
      <w:r>
        <w:rPr>
          <w:rFonts w:ascii="Times New Roman" w:hAnsi="Times New Roman" w:cs="Times New Roman"/>
          <w:sz w:val="24"/>
          <w:szCs w:val="24"/>
        </w:rPr>
        <w:t xml:space="preserve"> Narodow</w:t>
      </w:r>
      <w:r w:rsidR="00C93FC4">
        <w:rPr>
          <w:rFonts w:ascii="Times New Roman" w:hAnsi="Times New Roman" w:cs="Times New Roman"/>
          <w:sz w:val="24"/>
          <w:szCs w:val="24"/>
        </w:rPr>
        <w:t>ą</w:t>
      </w:r>
      <w:r>
        <w:rPr>
          <w:rFonts w:ascii="Times New Roman" w:hAnsi="Times New Roman" w:cs="Times New Roman"/>
          <w:sz w:val="24"/>
          <w:szCs w:val="24"/>
        </w:rPr>
        <w:t>.</w:t>
      </w:r>
    </w:p>
    <w:p w:rsidR="003B50D4" w:rsidRPr="00697206" w:rsidRDefault="003B50D4" w:rsidP="006A306D">
      <w:pPr>
        <w:ind w:firstLine="360"/>
        <w:rPr>
          <w:rFonts w:ascii="Times New Roman" w:hAnsi="Times New Roman" w:cs="Times New Roman"/>
          <w:b/>
          <w:sz w:val="24"/>
          <w:szCs w:val="24"/>
        </w:rPr>
      </w:pPr>
      <w:r w:rsidRPr="00697206">
        <w:rPr>
          <w:rFonts w:ascii="Times New Roman" w:hAnsi="Times New Roman" w:cs="Times New Roman"/>
          <w:b/>
          <w:sz w:val="24"/>
          <w:szCs w:val="24"/>
        </w:rPr>
        <w:t>Rynek wydawniczy książki</w:t>
      </w:r>
      <w:r w:rsidR="006D75A3" w:rsidRPr="00697206">
        <w:rPr>
          <w:rFonts w:ascii="Times New Roman" w:hAnsi="Times New Roman" w:cs="Times New Roman"/>
          <w:b/>
          <w:sz w:val="24"/>
          <w:szCs w:val="24"/>
        </w:rPr>
        <w:t xml:space="preserve"> w</w:t>
      </w:r>
      <w:r w:rsidR="00E22F34" w:rsidRPr="00697206">
        <w:rPr>
          <w:rFonts w:ascii="Times New Roman" w:hAnsi="Times New Roman" w:cs="Times New Roman"/>
          <w:b/>
          <w:sz w:val="24"/>
          <w:szCs w:val="24"/>
        </w:rPr>
        <w:t>edłu</w:t>
      </w:r>
      <w:r w:rsidR="006D75A3" w:rsidRPr="00697206">
        <w:rPr>
          <w:rFonts w:ascii="Times New Roman" w:hAnsi="Times New Roman" w:cs="Times New Roman"/>
          <w:b/>
          <w:sz w:val="24"/>
          <w:szCs w:val="24"/>
        </w:rPr>
        <w:t>g danych GUS</w:t>
      </w:r>
    </w:p>
    <w:tbl>
      <w:tblPr>
        <w:tblW w:w="9260" w:type="dxa"/>
        <w:tblInd w:w="60" w:type="dxa"/>
        <w:tblCellMar>
          <w:left w:w="70" w:type="dxa"/>
          <w:right w:w="70" w:type="dxa"/>
        </w:tblCellMar>
        <w:tblLook w:val="04A0" w:firstRow="1" w:lastRow="0" w:firstColumn="1" w:lastColumn="0" w:noHBand="0" w:noVBand="1"/>
      </w:tblPr>
      <w:tblGrid>
        <w:gridCol w:w="2900"/>
        <w:gridCol w:w="900"/>
        <w:gridCol w:w="900"/>
        <w:gridCol w:w="900"/>
        <w:gridCol w:w="960"/>
        <w:gridCol w:w="900"/>
        <w:gridCol w:w="900"/>
        <w:gridCol w:w="900"/>
      </w:tblGrid>
      <w:tr w:rsidR="00535CEC" w:rsidRPr="00697206" w:rsidTr="00535CEC">
        <w:trPr>
          <w:trHeight w:val="270"/>
        </w:trPr>
        <w:tc>
          <w:tcPr>
            <w:tcW w:w="2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rok</w:t>
            </w:r>
          </w:p>
        </w:tc>
        <w:tc>
          <w:tcPr>
            <w:tcW w:w="90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1990</w:t>
            </w:r>
          </w:p>
        </w:tc>
        <w:tc>
          <w:tcPr>
            <w:tcW w:w="90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1995</w:t>
            </w:r>
          </w:p>
        </w:tc>
        <w:tc>
          <w:tcPr>
            <w:tcW w:w="90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2000</w:t>
            </w:r>
          </w:p>
        </w:tc>
        <w:tc>
          <w:tcPr>
            <w:tcW w:w="96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2005</w:t>
            </w:r>
          </w:p>
        </w:tc>
        <w:tc>
          <w:tcPr>
            <w:tcW w:w="90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2010</w:t>
            </w:r>
          </w:p>
        </w:tc>
        <w:tc>
          <w:tcPr>
            <w:tcW w:w="90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2011</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2012</w:t>
            </w:r>
          </w:p>
        </w:tc>
      </w:tr>
      <w:tr w:rsidR="00535CEC" w:rsidRPr="00697206" w:rsidTr="00535CEC">
        <w:trPr>
          <w:trHeight w:val="255"/>
        </w:trPr>
        <w:tc>
          <w:tcPr>
            <w:tcW w:w="2900" w:type="dxa"/>
            <w:tcBorders>
              <w:top w:val="nil"/>
              <w:left w:val="single" w:sz="8" w:space="0" w:color="auto"/>
              <w:bottom w:val="nil"/>
              <w:right w:val="single" w:sz="8" w:space="0" w:color="auto"/>
            </w:tcBorders>
            <w:shd w:val="clear" w:color="auto" w:fill="auto"/>
            <w:noWrap/>
            <w:vAlign w:val="bottom"/>
            <w:hideMark/>
          </w:tcPr>
          <w:p w:rsidR="00535CEC" w:rsidRPr="00697206" w:rsidRDefault="00535CEC" w:rsidP="006A306D">
            <w:pPr>
              <w:spacing w:after="0" w:line="240" w:lineRule="auto"/>
              <w:jc w:val="right"/>
              <w:rPr>
                <w:rFonts w:ascii="Times New Roman" w:eastAsia="Times New Roman" w:hAnsi="Times New Roman" w:cs="Times New Roman"/>
                <w:sz w:val="24"/>
                <w:szCs w:val="24"/>
                <w:lang w:eastAsia="pl-PL"/>
              </w:rPr>
            </w:pP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6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single" w:sz="8" w:space="0" w:color="auto"/>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r>
      <w:tr w:rsidR="00535CEC" w:rsidRPr="00697206" w:rsidTr="00535CEC">
        <w:trPr>
          <w:trHeight w:val="255"/>
        </w:trPr>
        <w:tc>
          <w:tcPr>
            <w:tcW w:w="2900" w:type="dxa"/>
            <w:tcBorders>
              <w:top w:val="nil"/>
              <w:left w:val="single" w:sz="8" w:space="0" w:color="auto"/>
              <w:bottom w:val="nil"/>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tytuły</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10 242</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11 925</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21 647</w:t>
            </w:r>
          </w:p>
        </w:tc>
        <w:tc>
          <w:tcPr>
            <w:tcW w:w="96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19 999</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29 539</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31 511</w:t>
            </w:r>
          </w:p>
        </w:tc>
        <w:tc>
          <w:tcPr>
            <w:tcW w:w="900" w:type="dxa"/>
            <w:tcBorders>
              <w:top w:val="nil"/>
              <w:left w:val="nil"/>
              <w:bottom w:val="nil"/>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34 193</w:t>
            </w:r>
          </w:p>
        </w:tc>
      </w:tr>
      <w:tr w:rsidR="00535CEC" w:rsidRPr="00697206" w:rsidTr="00535CEC">
        <w:trPr>
          <w:trHeight w:val="255"/>
        </w:trPr>
        <w:tc>
          <w:tcPr>
            <w:tcW w:w="2900" w:type="dxa"/>
            <w:tcBorders>
              <w:top w:val="nil"/>
              <w:left w:val="single" w:sz="8" w:space="0" w:color="auto"/>
              <w:bottom w:val="nil"/>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nakłady w mln egz.</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175,6</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115,6</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102,8</w:t>
            </w:r>
          </w:p>
        </w:tc>
        <w:tc>
          <w:tcPr>
            <w:tcW w:w="96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81,0</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83,4</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93,7</w:t>
            </w:r>
          </w:p>
        </w:tc>
        <w:tc>
          <w:tcPr>
            <w:tcW w:w="900" w:type="dxa"/>
            <w:tcBorders>
              <w:top w:val="nil"/>
              <w:left w:val="nil"/>
              <w:bottom w:val="nil"/>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90,3</w:t>
            </w:r>
          </w:p>
        </w:tc>
      </w:tr>
      <w:tr w:rsidR="00535CEC" w:rsidRPr="00697206" w:rsidTr="00535CEC">
        <w:trPr>
          <w:trHeight w:val="270"/>
        </w:trPr>
        <w:tc>
          <w:tcPr>
            <w:tcW w:w="2900" w:type="dxa"/>
            <w:tcBorders>
              <w:top w:val="nil"/>
              <w:left w:val="single" w:sz="8" w:space="0" w:color="auto"/>
              <w:bottom w:val="single" w:sz="8" w:space="0" w:color="auto"/>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średni nakład w egz.</w:t>
            </w:r>
          </w:p>
        </w:tc>
        <w:tc>
          <w:tcPr>
            <w:tcW w:w="90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17 145</w:t>
            </w:r>
          </w:p>
        </w:tc>
        <w:tc>
          <w:tcPr>
            <w:tcW w:w="90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9 694</w:t>
            </w:r>
          </w:p>
        </w:tc>
        <w:tc>
          <w:tcPr>
            <w:tcW w:w="90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4 749</w:t>
            </w:r>
          </w:p>
        </w:tc>
        <w:tc>
          <w:tcPr>
            <w:tcW w:w="96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4 050</w:t>
            </w:r>
          </w:p>
        </w:tc>
        <w:tc>
          <w:tcPr>
            <w:tcW w:w="90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2 823</w:t>
            </w:r>
          </w:p>
        </w:tc>
        <w:tc>
          <w:tcPr>
            <w:tcW w:w="90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2 974</w:t>
            </w:r>
          </w:p>
        </w:tc>
        <w:tc>
          <w:tcPr>
            <w:tcW w:w="900" w:type="dxa"/>
            <w:tcBorders>
              <w:top w:val="nil"/>
              <w:left w:val="nil"/>
              <w:bottom w:val="single" w:sz="8" w:space="0" w:color="auto"/>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2 641</w:t>
            </w:r>
          </w:p>
        </w:tc>
      </w:tr>
    </w:tbl>
    <w:p w:rsidR="00250CB3" w:rsidRPr="00697206" w:rsidRDefault="00250CB3" w:rsidP="003B50D4">
      <w:pPr>
        <w:rPr>
          <w:rFonts w:ascii="Times New Roman" w:hAnsi="Times New Roman" w:cs="Times New Roman"/>
          <w:sz w:val="24"/>
          <w:szCs w:val="24"/>
        </w:rPr>
      </w:pPr>
    </w:p>
    <w:p w:rsidR="00535CEC" w:rsidRDefault="00535CEC" w:rsidP="003B50D4">
      <w:pPr>
        <w:rPr>
          <w:rFonts w:ascii="Times New Roman" w:hAnsi="Times New Roman" w:cs="Times New Roman"/>
          <w:sz w:val="24"/>
          <w:szCs w:val="24"/>
        </w:rPr>
      </w:pPr>
      <w:r w:rsidRPr="00535CEC">
        <w:rPr>
          <w:rFonts w:ascii="Times New Roman" w:hAnsi="Times New Roman" w:cs="Times New Roman"/>
          <w:noProof/>
          <w:sz w:val="24"/>
          <w:szCs w:val="24"/>
          <w:lang w:eastAsia="pl-PL"/>
        </w:rPr>
        <w:drawing>
          <wp:inline distT="0" distB="0" distL="0" distR="0">
            <wp:extent cx="5153025" cy="2609850"/>
            <wp:effectExtent l="1905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3EF3" w:rsidRDefault="003B50D4" w:rsidP="00C93FC4">
      <w:pPr>
        <w:spacing w:line="360" w:lineRule="auto"/>
        <w:rPr>
          <w:i/>
          <w:iCs/>
        </w:rPr>
      </w:pPr>
      <w:r w:rsidRPr="009A77FC">
        <w:rPr>
          <w:i/>
          <w:iCs/>
        </w:rPr>
        <w:t>Źródło: opracowanie własne na podstawie danych GUS</w:t>
      </w:r>
      <w:r w:rsidR="003A3F63">
        <w:rPr>
          <w:i/>
          <w:iCs/>
        </w:rPr>
        <w:t>.</w:t>
      </w:r>
    </w:p>
    <w:p w:rsidR="00E22F34" w:rsidRPr="00C93FC4" w:rsidRDefault="00E22F34" w:rsidP="00C93FC4">
      <w:pPr>
        <w:spacing w:line="360" w:lineRule="auto"/>
        <w:rPr>
          <w:rFonts w:ascii="Times New Roman" w:hAnsi="Times New Roman" w:cs="Times New Roman"/>
          <w:sz w:val="24"/>
          <w:szCs w:val="24"/>
        </w:rPr>
      </w:pPr>
    </w:p>
    <w:p w:rsidR="006A306D" w:rsidRDefault="006A306D" w:rsidP="006A306D">
      <w:pPr>
        <w:ind w:firstLine="708"/>
        <w:rPr>
          <w:rFonts w:ascii="Times New Roman" w:hAnsi="Times New Roman" w:cs="Times New Roman"/>
          <w:b/>
          <w:sz w:val="24"/>
          <w:szCs w:val="24"/>
        </w:rPr>
      </w:pPr>
    </w:p>
    <w:p w:rsidR="00535CEC" w:rsidRDefault="00535CEC" w:rsidP="006A306D">
      <w:pPr>
        <w:ind w:firstLine="708"/>
        <w:rPr>
          <w:rFonts w:ascii="Times New Roman" w:hAnsi="Times New Roman" w:cs="Times New Roman"/>
          <w:b/>
          <w:sz w:val="24"/>
          <w:szCs w:val="24"/>
        </w:rPr>
      </w:pPr>
      <w:r w:rsidRPr="00535CEC">
        <w:rPr>
          <w:rFonts w:ascii="Times New Roman" w:hAnsi="Times New Roman" w:cs="Times New Roman"/>
          <w:b/>
          <w:sz w:val="24"/>
          <w:szCs w:val="24"/>
        </w:rPr>
        <w:t>Rynek książek w</w:t>
      </w:r>
      <w:r w:rsidR="00E22F34">
        <w:rPr>
          <w:rFonts w:ascii="Times New Roman" w:hAnsi="Times New Roman" w:cs="Times New Roman"/>
          <w:b/>
          <w:sz w:val="24"/>
          <w:szCs w:val="24"/>
        </w:rPr>
        <w:t>edłu</w:t>
      </w:r>
      <w:r w:rsidRPr="00535CEC">
        <w:rPr>
          <w:rFonts w:ascii="Times New Roman" w:hAnsi="Times New Roman" w:cs="Times New Roman"/>
          <w:b/>
          <w:sz w:val="24"/>
          <w:szCs w:val="24"/>
        </w:rPr>
        <w:t>g danych Biblioteki Analiz</w:t>
      </w:r>
    </w:p>
    <w:tbl>
      <w:tblPr>
        <w:tblW w:w="8824" w:type="dxa"/>
        <w:tblInd w:w="496" w:type="dxa"/>
        <w:tblCellMar>
          <w:left w:w="70" w:type="dxa"/>
          <w:right w:w="70" w:type="dxa"/>
        </w:tblCellMar>
        <w:tblLook w:val="04A0" w:firstRow="1" w:lastRow="0" w:firstColumn="1" w:lastColumn="0" w:noHBand="0" w:noVBand="1"/>
      </w:tblPr>
      <w:tblGrid>
        <w:gridCol w:w="2464"/>
        <w:gridCol w:w="900"/>
        <w:gridCol w:w="900"/>
        <w:gridCol w:w="900"/>
        <w:gridCol w:w="960"/>
        <w:gridCol w:w="900"/>
        <w:gridCol w:w="900"/>
        <w:gridCol w:w="900"/>
      </w:tblGrid>
      <w:tr w:rsidR="00535CEC" w:rsidRPr="00697206" w:rsidTr="006A306D">
        <w:trPr>
          <w:trHeight w:val="270"/>
        </w:trPr>
        <w:tc>
          <w:tcPr>
            <w:tcW w:w="2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A306D" w:rsidRPr="00697206" w:rsidRDefault="006A306D" w:rsidP="00535CEC">
            <w:pPr>
              <w:spacing w:after="0" w:line="240" w:lineRule="auto"/>
              <w:rPr>
                <w:rFonts w:ascii="Times New Roman" w:eastAsia="Times New Roman" w:hAnsi="Times New Roman" w:cs="Times New Roman"/>
                <w:sz w:val="24"/>
                <w:szCs w:val="24"/>
                <w:lang w:eastAsia="pl-PL"/>
              </w:rPr>
            </w:pPr>
          </w:p>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rok</w:t>
            </w:r>
          </w:p>
        </w:tc>
        <w:tc>
          <w:tcPr>
            <w:tcW w:w="90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1990</w:t>
            </w:r>
          </w:p>
        </w:tc>
        <w:tc>
          <w:tcPr>
            <w:tcW w:w="90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1995</w:t>
            </w:r>
          </w:p>
        </w:tc>
        <w:tc>
          <w:tcPr>
            <w:tcW w:w="90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2000</w:t>
            </w:r>
          </w:p>
        </w:tc>
        <w:tc>
          <w:tcPr>
            <w:tcW w:w="96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2005</w:t>
            </w:r>
          </w:p>
        </w:tc>
        <w:tc>
          <w:tcPr>
            <w:tcW w:w="90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2010</w:t>
            </w:r>
          </w:p>
        </w:tc>
        <w:tc>
          <w:tcPr>
            <w:tcW w:w="900" w:type="dxa"/>
            <w:tcBorders>
              <w:top w:val="single" w:sz="8" w:space="0" w:color="auto"/>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2011</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2012</w:t>
            </w:r>
          </w:p>
        </w:tc>
      </w:tr>
      <w:tr w:rsidR="00535CEC" w:rsidRPr="00697206" w:rsidTr="006A306D">
        <w:trPr>
          <w:trHeight w:val="255"/>
        </w:trPr>
        <w:tc>
          <w:tcPr>
            <w:tcW w:w="2464" w:type="dxa"/>
            <w:tcBorders>
              <w:top w:val="nil"/>
              <w:left w:val="single" w:sz="8" w:space="0" w:color="auto"/>
              <w:bottom w:val="nil"/>
              <w:right w:val="single" w:sz="8" w:space="0" w:color="auto"/>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6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single" w:sz="8" w:space="0" w:color="auto"/>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r>
      <w:tr w:rsidR="00535CEC" w:rsidRPr="00697206" w:rsidTr="006A306D">
        <w:trPr>
          <w:trHeight w:val="255"/>
        </w:trPr>
        <w:tc>
          <w:tcPr>
            <w:tcW w:w="2464" w:type="dxa"/>
            <w:tcBorders>
              <w:top w:val="nil"/>
              <w:left w:val="single" w:sz="8" w:space="0" w:color="auto"/>
              <w:bottom w:val="nil"/>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tytuły</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25 700</w:t>
            </w:r>
          </w:p>
        </w:tc>
        <w:tc>
          <w:tcPr>
            <w:tcW w:w="96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20 560</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24 380</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24 920</w:t>
            </w:r>
          </w:p>
        </w:tc>
        <w:tc>
          <w:tcPr>
            <w:tcW w:w="900" w:type="dxa"/>
            <w:tcBorders>
              <w:top w:val="nil"/>
              <w:left w:val="nil"/>
              <w:bottom w:val="nil"/>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27 060</w:t>
            </w:r>
          </w:p>
        </w:tc>
      </w:tr>
      <w:tr w:rsidR="00535CEC" w:rsidRPr="00697206" w:rsidTr="006A306D">
        <w:trPr>
          <w:trHeight w:val="255"/>
        </w:trPr>
        <w:tc>
          <w:tcPr>
            <w:tcW w:w="2464" w:type="dxa"/>
            <w:tcBorders>
              <w:top w:val="nil"/>
              <w:left w:val="single" w:sz="8" w:space="0" w:color="auto"/>
              <w:bottom w:val="nil"/>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nakłady mln egz.</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158,5</w:t>
            </w:r>
          </w:p>
        </w:tc>
        <w:tc>
          <w:tcPr>
            <w:tcW w:w="96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141,5</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139,2</w:t>
            </w:r>
          </w:p>
        </w:tc>
        <w:tc>
          <w:tcPr>
            <w:tcW w:w="900" w:type="dxa"/>
            <w:tcBorders>
              <w:top w:val="nil"/>
              <w:left w:val="nil"/>
              <w:bottom w:val="nil"/>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122,4</w:t>
            </w:r>
          </w:p>
        </w:tc>
        <w:tc>
          <w:tcPr>
            <w:tcW w:w="900" w:type="dxa"/>
            <w:tcBorders>
              <w:top w:val="nil"/>
              <w:left w:val="nil"/>
              <w:bottom w:val="nil"/>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107,9</w:t>
            </w:r>
          </w:p>
        </w:tc>
      </w:tr>
      <w:tr w:rsidR="00535CEC" w:rsidRPr="00697206" w:rsidTr="006A306D">
        <w:trPr>
          <w:trHeight w:val="270"/>
        </w:trPr>
        <w:tc>
          <w:tcPr>
            <w:tcW w:w="2464" w:type="dxa"/>
            <w:tcBorders>
              <w:top w:val="nil"/>
              <w:left w:val="single" w:sz="8" w:space="0" w:color="auto"/>
              <w:bottom w:val="single" w:sz="8" w:space="0" w:color="auto"/>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średni nakład w egz.</w:t>
            </w:r>
          </w:p>
        </w:tc>
        <w:tc>
          <w:tcPr>
            <w:tcW w:w="90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6 167</w:t>
            </w:r>
          </w:p>
        </w:tc>
        <w:tc>
          <w:tcPr>
            <w:tcW w:w="96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6 882</w:t>
            </w:r>
          </w:p>
        </w:tc>
        <w:tc>
          <w:tcPr>
            <w:tcW w:w="90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5 710</w:t>
            </w:r>
          </w:p>
        </w:tc>
        <w:tc>
          <w:tcPr>
            <w:tcW w:w="900" w:type="dxa"/>
            <w:tcBorders>
              <w:top w:val="nil"/>
              <w:left w:val="nil"/>
              <w:bottom w:val="single" w:sz="8" w:space="0" w:color="auto"/>
              <w:right w:val="nil"/>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4 912</w:t>
            </w:r>
          </w:p>
        </w:tc>
        <w:tc>
          <w:tcPr>
            <w:tcW w:w="900" w:type="dxa"/>
            <w:tcBorders>
              <w:top w:val="nil"/>
              <w:left w:val="nil"/>
              <w:bottom w:val="single" w:sz="8" w:space="0" w:color="auto"/>
              <w:right w:val="single" w:sz="8" w:space="0" w:color="auto"/>
            </w:tcBorders>
            <w:shd w:val="clear" w:color="auto" w:fill="auto"/>
            <w:noWrap/>
            <w:vAlign w:val="bottom"/>
            <w:hideMark/>
          </w:tcPr>
          <w:p w:rsidR="00535CEC" w:rsidRPr="00697206" w:rsidRDefault="00535CEC" w:rsidP="00535CEC">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3 987</w:t>
            </w:r>
          </w:p>
        </w:tc>
      </w:tr>
    </w:tbl>
    <w:p w:rsidR="00535CEC" w:rsidRDefault="00535CEC" w:rsidP="00C93FC4">
      <w:pPr>
        <w:spacing w:line="360" w:lineRule="auto"/>
        <w:rPr>
          <w:rFonts w:ascii="Times New Roman" w:hAnsi="Times New Roman" w:cs="Times New Roman"/>
          <w:sz w:val="14"/>
          <w:szCs w:val="14"/>
        </w:rPr>
      </w:pPr>
    </w:p>
    <w:p w:rsidR="003A3F63" w:rsidRDefault="003A3F63" w:rsidP="00C93FC4">
      <w:pPr>
        <w:spacing w:line="360" w:lineRule="auto"/>
        <w:rPr>
          <w:rFonts w:ascii="Times New Roman" w:hAnsi="Times New Roman" w:cs="Times New Roman"/>
          <w:sz w:val="14"/>
          <w:szCs w:val="14"/>
        </w:rPr>
      </w:pPr>
    </w:p>
    <w:p w:rsidR="003A3F63" w:rsidRPr="00D811BB" w:rsidRDefault="003A3F63" w:rsidP="00C93FC4">
      <w:pPr>
        <w:spacing w:line="360" w:lineRule="auto"/>
        <w:rPr>
          <w:rFonts w:ascii="Times New Roman" w:hAnsi="Times New Roman" w:cs="Times New Roman"/>
          <w:sz w:val="14"/>
          <w:szCs w:val="14"/>
        </w:rPr>
      </w:pPr>
    </w:p>
    <w:p w:rsidR="00535CEC" w:rsidRDefault="00535CEC" w:rsidP="006E0CB9">
      <w:pPr>
        <w:spacing w:line="360" w:lineRule="auto"/>
        <w:ind w:firstLine="360"/>
        <w:rPr>
          <w:rFonts w:ascii="Times New Roman" w:hAnsi="Times New Roman" w:cs="Times New Roman"/>
          <w:sz w:val="24"/>
          <w:szCs w:val="24"/>
        </w:rPr>
      </w:pPr>
      <w:r w:rsidRPr="00535CEC">
        <w:rPr>
          <w:rFonts w:ascii="Times New Roman" w:hAnsi="Times New Roman" w:cs="Times New Roman"/>
          <w:noProof/>
          <w:sz w:val="24"/>
          <w:szCs w:val="24"/>
          <w:lang w:eastAsia="pl-PL"/>
        </w:rPr>
        <w:drawing>
          <wp:inline distT="0" distB="0" distL="0" distR="0">
            <wp:extent cx="4852877" cy="2498652"/>
            <wp:effectExtent l="19050" t="0" r="23923"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11BB" w:rsidRDefault="00535CEC" w:rsidP="00C93FC4">
      <w:pPr>
        <w:spacing w:line="360" w:lineRule="auto"/>
        <w:ind w:firstLine="360"/>
        <w:rPr>
          <w:i/>
          <w:iCs/>
        </w:rPr>
      </w:pPr>
      <w:r w:rsidRPr="009A77FC">
        <w:rPr>
          <w:i/>
          <w:iCs/>
        </w:rPr>
        <w:t xml:space="preserve">Źródło: opracowanie własne na podstawie danych </w:t>
      </w:r>
      <w:r>
        <w:rPr>
          <w:i/>
          <w:iCs/>
        </w:rPr>
        <w:t>Biblioteki Analiz</w:t>
      </w:r>
      <w:r w:rsidR="003A3F63">
        <w:rPr>
          <w:i/>
          <w:iCs/>
        </w:rPr>
        <w:t>.</w:t>
      </w:r>
    </w:p>
    <w:p w:rsidR="006A306D" w:rsidRDefault="006A306D" w:rsidP="00C93FC4">
      <w:pPr>
        <w:spacing w:line="360" w:lineRule="auto"/>
        <w:ind w:firstLine="360"/>
        <w:rPr>
          <w:i/>
          <w:iCs/>
        </w:rPr>
      </w:pPr>
    </w:p>
    <w:p w:rsidR="006A306D" w:rsidRDefault="006A306D" w:rsidP="00C93FC4">
      <w:pPr>
        <w:spacing w:line="360" w:lineRule="auto"/>
        <w:ind w:firstLine="360"/>
        <w:rPr>
          <w:i/>
          <w:iCs/>
        </w:rPr>
      </w:pPr>
    </w:p>
    <w:p w:rsidR="006A306D" w:rsidRDefault="006A306D" w:rsidP="00C93FC4">
      <w:pPr>
        <w:spacing w:line="360" w:lineRule="auto"/>
        <w:ind w:firstLine="360"/>
        <w:rPr>
          <w:i/>
          <w:iCs/>
        </w:rPr>
      </w:pPr>
    </w:p>
    <w:p w:rsidR="006A306D" w:rsidRDefault="006A306D" w:rsidP="00C93FC4">
      <w:pPr>
        <w:spacing w:line="360" w:lineRule="auto"/>
        <w:ind w:firstLine="360"/>
        <w:rPr>
          <w:i/>
          <w:iCs/>
        </w:rPr>
      </w:pPr>
    </w:p>
    <w:p w:rsidR="006A306D" w:rsidRDefault="006A306D" w:rsidP="00C93FC4">
      <w:pPr>
        <w:spacing w:line="360" w:lineRule="auto"/>
        <w:ind w:firstLine="360"/>
        <w:rPr>
          <w:i/>
          <w:iCs/>
        </w:rPr>
      </w:pPr>
    </w:p>
    <w:p w:rsidR="006A306D" w:rsidRDefault="006A306D" w:rsidP="00C93FC4">
      <w:pPr>
        <w:spacing w:line="360" w:lineRule="auto"/>
        <w:ind w:firstLine="360"/>
        <w:rPr>
          <w:i/>
          <w:iCs/>
        </w:rPr>
      </w:pPr>
    </w:p>
    <w:p w:rsidR="006107E5" w:rsidRPr="00697206" w:rsidRDefault="006107E5" w:rsidP="003A3F63">
      <w:pPr>
        <w:spacing w:after="0" w:line="240" w:lineRule="auto"/>
        <w:ind w:firstLine="426"/>
        <w:rPr>
          <w:rFonts w:ascii="Times New Roman" w:eastAsia="Times New Roman" w:hAnsi="Times New Roman" w:cs="Times New Roman"/>
          <w:b/>
          <w:bCs/>
          <w:sz w:val="24"/>
          <w:szCs w:val="24"/>
          <w:lang w:eastAsia="pl-PL"/>
        </w:rPr>
      </w:pPr>
      <w:r w:rsidRPr="00697206">
        <w:rPr>
          <w:rFonts w:ascii="Times New Roman" w:eastAsia="Times New Roman" w:hAnsi="Times New Roman" w:cs="Times New Roman"/>
          <w:b/>
          <w:bCs/>
          <w:sz w:val="24"/>
          <w:szCs w:val="24"/>
          <w:lang w:eastAsia="pl-PL"/>
        </w:rPr>
        <w:lastRenderedPageBreak/>
        <w:t xml:space="preserve">Rynek książek </w:t>
      </w:r>
      <w:r w:rsidR="00E22F34" w:rsidRPr="00697206">
        <w:rPr>
          <w:rFonts w:ascii="Times New Roman" w:hAnsi="Times New Roman" w:cs="Times New Roman"/>
          <w:b/>
          <w:sz w:val="24"/>
          <w:szCs w:val="24"/>
        </w:rPr>
        <w:t>według</w:t>
      </w:r>
      <w:r w:rsidRPr="00697206">
        <w:rPr>
          <w:rFonts w:ascii="Times New Roman" w:eastAsia="Times New Roman" w:hAnsi="Times New Roman" w:cs="Times New Roman"/>
          <w:b/>
          <w:bCs/>
          <w:sz w:val="24"/>
          <w:szCs w:val="24"/>
          <w:lang w:eastAsia="pl-PL"/>
        </w:rPr>
        <w:t xml:space="preserve"> danych Biblioteki Narodowej</w:t>
      </w:r>
    </w:p>
    <w:p w:rsidR="006A306D" w:rsidRPr="00697206" w:rsidRDefault="006A306D" w:rsidP="006107E5">
      <w:pPr>
        <w:spacing w:after="0" w:line="240" w:lineRule="auto"/>
        <w:ind w:firstLine="360"/>
        <w:rPr>
          <w:rFonts w:ascii="Times New Roman" w:eastAsia="Times New Roman" w:hAnsi="Times New Roman" w:cs="Times New Roman"/>
          <w:b/>
          <w:bCs/>
          <w:sz w:val="24"/>
          <w:szCs w:val="24"/>
          <w:lang w:eastAsia="pl-PL"/>
        </w:rPr>
      </w:pPr>
    </w:p>
    <w:p w:rsidR="006107E5" w:rsidRPr="00697206" w:rsidRDefault="006107E5" w:rsidP="006107E5">
      <w:pPr>
        <w:spacing w:after="0" w:line="240" w:lineRule="auto"/>
        <w:ind w:firstLine="360"/>
        <w:rPr>
          <w:rFonts w:ascii="Times New Roman" w:eastAsia="Times New Roman" w:hAnsi="Times New Roman" w:cs="Times New Roman"/>
          <w:b/>
          <w:bCs/>
          <w:sz w:val="24"/>
          <w:szCs w:val="24"/>
          <w:lang w:eastAsia="pl-PL"/>
        </w:rPr>
      </w:pPr>
    </w:p>
    <w:tbl>
      <w:tblPr>
        <w:tblW w:w="8824" w:type="dxa"/>
        <w:tblInd w:w="496" w:type="dxa"/>
        <w:tblCellMar>
          <w:left w:w="70" w:type="dxa"/>
          <w:right w:w="70" w:type="dxa"/>
        </w:tblCellMar>
        <w:tblLook w:val="04A0" w:firstRow="1" w:lastRow="0" w:firstColumn="1" w:lastColumn="0" w:noHBand="0" w:noVBand="1"/>
      </w:tblPr>
      <w:tblGrid>
        <w:gridCol w:w="2464"/>
        <w:gridCol w:w="900"/>
        <w:gridCol w:w="900"/>
        <w:gridCol w:w="900"/>
        <w:gridCol w:w="960"/>
        <w:gridCol w:w="900"/>
        <w:gridCol w:w="900"/>
        <w:gridCol w:w="900"/>
      </w:tblGrid>
      <w:tr w:rsidR="006107E5" w:rsidRPr="00697206" w:rsidTr="006A306D">
        <w:trPr>
          <w:trHeight w:val="270"/>
        </w:trPr>
        <w:tc>
          <w:tcPr>
            <w:tcW w:w="24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07E5" w:rsidRPr="00697206" w:rsidRDefault="006107E5" w:rsidP="006107E5">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rok</w:t>
            </w:r>
          </w:p>
        </w:tc>
        <w:tc>
          <w:tcPr>
            <w:tcW w:w="900" w:type="dxa"/>
            <w:tcBorders>
              <w:top w:val="single" w:sz="8" w:space="0" w:color="auto"/>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1990</w:t>
            </w:r>
          </w:p>
        </w:tc>
        <w:tc>
          <w:tcPr>
            <w:tcW w:w="900" w:type="dxa"/>
            <w:tcBorders>
              <w:top w:val="single" w:sz="8" w:space="0" w:color="auto"/>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1995</w:t>
            </w:r>
          </w:p>
        </w:tc>
        <w:tc>
          <w:tcPr>
            <w:tcW w:w="900" w:type="dxa"/>
            <w:tcBorders>
              <w:top w:val="single" w:sz="8" w:space="0" w:color="auto"/>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2000</w:t>
            </w:r>
          </w:p>
        </w:tc>
        <w:tc>
          <w:tcPr>
            <w:tcW w:w="960" w:type="dxa"/>
            <w:tcBorders>
              <w:top w:val="single" w:sz="8" w:space="0" w:color="auto"/>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2005</w:t>
            </w:r>
          </w:p>
        </w:tc>
        <w:tc>
          <w:tcPr>
            <w:tcW w:w="900" w:type="dxa"/>
            <w:tcBorders>
              <w:top w:val="single" w:sz="8" w:space="0" w:color="auto"/>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2010</w:t>
            </w:r>
          </w:p>
        </w:tc>
        <w:tc>
          <w:tcPr>
            <w:tcW w:w="900" w:type="dxa"/>
            <w:tcBorders>
              <w:top w:val="single" w:sz="8" w:space="0" w:color="auto"/>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2011</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2012</w:t>
            </w:r>
          </w:p>
        </w:tc>
      </w:tr>
      <w:tr w:rsidR="006107E5" w:rsidRPr="00697206" w:rsidTr="006A306D">
        <w:trPr>
          <w:trHeight w:val="255"/>
        </w:trPr>
        <w:tc>
          <w:tcPr>
            <w:tcW w:w="2464" w:type="dxa"/>
            <w:tcBorders>
              <w:top w:val="nil"/>
              <w:left w:val="single" w:sz="8" w:space="0" w:color="auto"/>
              <w:bottom w:val="nil"/>
              <w:right w:val="single" w:sz="8" w:space="0" w:color="auto"/>
            </w:tcBorders>
            <w:shd w:val="clear" w:color="auto" w:fill="auto"/>
            <w:noWrap/>
            <w:vAlign w:val="bottom"/>
            <w:hideMark/>
          </w:tcPr>
          <w:p w:rsidR="006107E5" w:rsidRPr="00697206" w:rsidRDefault="006107E5" w:rsidP="006107E5">
            <w:pPr>
              <w:spacing w:after="0" w:line="240" w:lineRule="auto"/>
              <w:rPr>
                <w:rFonts w:ascii="Times New Roman" w:eastAsia="Times New Roman" w:hAnsi="Times New Roman" w:cs="Times New Roman"/>
                <w:sz w:val="24"/>
                <w:szCs w:val="24"/>
                <w:lang w:eastAsia="pl-PL"/>
              </w:rPr>
            </w:pP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6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c>
          <w:tcPr>
            <w:tcW w:w="900" w:type="dxa"/>
            <w:tcBorders>
              <w:top w:val="nil"/>
              <w:left w:val="nil"/>
              <w:bottom w:val="nil"/>
              <w:right w:val="single" w:sz="8" w:space="0" w:color="auto"/>
            </w:tcBorders>
            <w:shd w:val="clear" w:color="auto" w:fill="auto"/>
            <w:noWrap/>
            <w:vAlign w:val="bottom"/>
            <w:hideMark/>
          </w:tcPr>
          <w:p w:rsidR="006107E5" w:rsidRPr="00697206" w:rsidRDefault="006107E5" w:rsidP="006107E5">
            <w:pPr>
              <w:spacing w:after="0" w:line="240" w:lineRule="auto"/>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 </w:t>
            </w:r>
          </w:p>
        </w:tc>
      </w:tr>
      <w:tr w:rsidR="006107E5" w:rsidRPr="00697206" w:rsidTr="006A306D">
        <w:trPr>
          <w:trHeight w:val="255"/>
        </w:trPr>
        <w:tc>
          <w:tcPr>
            <w:tcW w:w="2464" w:type="dxa"/>
            <w:tcBorders>
              <w:top w:val="nil"/>
              <w:left w:val="single" w:sz="8" w:space="0" w:color="auto"/>
              <w:bottom w:val="nil"/>
              <w:right w:val="single" w:sz="8" w:space="0" w:color="auto"/>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tytuły</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10 586</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12 141</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22 298</w:t>
            </w:r>
          </w:p>
        </w:tc>
        <w:tc>
          <w:tcPr>
            <w:tcW w:w="96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19 999</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29 539</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31 515</w:t>
            </w:r>
          </w:p>
        </w:tc>
        <w:tc>
          <w:tcPr>
            <w:tcW w:w="900" w:type="dxa"/>
            <w:tcBorders>
              <w:top w:val="nil"/>
              <w:left w:val="nil"/>
              <w:bottom w:val="nil"/>
              <w:right w:val="single" w:sz="8" w:space="0" w:color="auto"/>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34 147</w:t>
            </w:r>
          </w:p>
        </w:tc>
      </w:tr>
      <w:tr w:rsidR="006107E5" w:rsidRPr="00697206" w:rsidTr="006A306D">
        <w:trPr>
          <w:trHeight w:val="255"/>
        </w:trPr>
        <w:tc>
          <w:tcPr>
            <w:tcW w:w="2464" w:type="dxa"/>
            <w:tcBorders>
              <w:top w:val="nil"/>
              <w:left w:val="single" w:sz="8" w:space="0" w:color="auto"/>
              <w:bottom w:val="nil"/>
              <w:right w:val="single" w:sz="8" w:space="0" w:color="auto"/>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nakłady w mln egz.</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178,6</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117,9</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107,5</w:t>
            </w:r>
          </w:p>
        </w:tc>
        <w:tc>
          <w:tcPr>
            <w:tcW w:w="96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81,0</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83,4</w:t>
            </w:r>
          </w:p>
        </w:tc>
        <w:tc>
          <w:tcPr>
            <w:tcW w:w="900" w:type="dxa"/>
            <w:tcBorders>
              <w:top w:val="nil"/>
              <w:left w:val="nil"/>
              <w:bottom w:val="nil"/>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93,7</w:t>
            </w:r>
          </w:p>
        </w:tc>
        <w:tc>
          <w:tcPr>
            <w:tcW w:w="900" w:type="dxa"/>
            <w:tcBorders>
              <w:top w:val="nil"/>
              <w:left w:val="nil"/>
              <w:bottom w:val="nil"/>
              <w:right w:val="single" w:sz="8" w:space="0" w:color="auto"/>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79,5</w:t>
            </w:r>
          </w:p>
        </w:tc>
      </w:tr>
      <w:tr w:rsidR="006107E5" w:rsidRPr="00697206" w:rsidTr="006A306D">
        <w:trPr>
          <w:trHeight w:val="270"/>
        </w:trPr>
        <w:tc>
          <w:tcPr>
            <w:tcW w:w="2464" w:type="dxa"/>
            <w:tcBorders>
              <w:top w:val="nil"/>
              <w:left w:val="single" w:sz="8" w:space="0" w:color="auto"/>
              <w:bottom w:val="single" w:sz="8" w:space="0" w:color="auto"/>
              <w:right w:val="single" w:sz="8" w:space="0" w:color="auto"/>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średni nakład w egz.</w:t>
            </w:r>
          </w:p>
        </w:tc>
        <w:tc>
          <w:tcPr>
            <w:tcW w:w="900" w:type="dxa"/>
            <w:tcBorders>
              <w:top w:val="nil"/>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16 874</w:t>
            </w:r>
          </w:p>
        </w:tc>
        <w:tc>
          <w:tcPr>
            <w:tcW w:w="900" w:type="dxa"/>
            <w:tcBorders>
              <w:top w:val="nil"/>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9 707</w:t>
            </w:r>
          </w:p>
        </w:tc>
        <w:tc>
          <w:tcPr>
            <w:tcW w:w="900" w:type="dxa"/>
            <w:tcBorders>
              <w:top w:val="nil"/>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4 823</w:t>
            </w:r>
          </w:p>
        </w:tc>
        <w:tc>
          <w:tcPr>
            <w:tcW w:w="960" w:type="dxa"/>
            <w:tcBorders>
              <w:top w:val="nil"/>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4 051</w:t>
            </w:r>
          </w:p>
        </w:tc>
        <w:tc>
          <w:tcPr>
            <w:tcW w:w="900" w:type="dxa"/>
            <w:tcBorders>
              <w:top w:val="nil"/>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2 822</w:t>
            </w:r>
          </w:p>
        </w:tc>
        <w:tc>
          <w:tcPr>
            <w:tcW w:w="900" w:type="dxa"/>
            <w:tcBorders>
              <w:top w:val="nil"/>
              <w:left w:val="nil"/>
              <w:bottom w:val="single" w:sz="8" w:space="0" w:color="auto"/>
              <w:right w:val="nil"/>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2 975</w:t>
            </w:r>
          </w:p>
        </w:tc>
        <w:tc>
          <w:tcPr>
            <w:tcW w:w="900" w:type="dxa"/>
            <w:tcBorders>
              <w:top w:val="nil"/>
              <w:left w:val="nil"/>
              <w:bottom w:val="single" w:sz="8" w:space="0" w:color="auto"/>
              <w:right w:val="single" w:sz="8" w:space="0" w:color="auto"/>
            </w:tcBorders>
            <w:shd w:val="clear" w:color="auto" w:fill="auto"/>
            <w:noWrap/>
            <w:vAlign w:val="bottom"/>
            <w:hideMark/>
          </w:tcPr>
          <w:p w:rsidR="006107E5" w:rsidRPr="00697206" w:rsidRDefault="006107E5" w:rsidP="006107E5">
            <w:pPr>
              <w:spacing w:after="0" w:line="240" w:lineRule="auto"/>
              <w:jc w:val="right"/>
              <w:rPr>
                <w:rFonts w:ascii="Times New Roman" w:eastAsia="Times New Roman" w:hAnsi="Times New Roman" w:cs="Times New Roman"/>
                <w:sz w:val="24"/>
                <w:szCs w:val="24"/>
                <w:lang w:eastAsia="pl-PL"/>
              </w:rPr>
            </w:pPr>
            <w:r w:rsidRPr="00697206">
              <w:rPr>
                <w:rFonts w:ascii="Times New Roman" w:eastAsia="Times New Roman" w:hAnsi="Times New Roman" w:cs="Times New Roman"/>
                <w:sz w:val="24"/>
                <w:szCs w:val="24"/>
                <w:lang w:eastAsia="pl-PL"/>
              </w:rPr>
              <w:t>2 329</w:t>
            </w:r>
          </w:p>
        </w:tc>
      </w:tr>
    </w:tbl>
    <w:p w:rsidR="00C93FC4" w:rsidRDefault="00C93FC4" w:rsidP="00C93FC4">
      <w:pPr>
        <w:spacing w:line="360" w:lineRule="auto"/>
        <w:ind w:firstLine="360"/>
        <w:rPr>
          <w:i/>
          <w:iCs/>
        </w:rPr>
      </w:pPr>
    </w:p>
    <w:p w:rsidR="006A306D" w:rsidRDefault="006A306D" w:rsidP="00C93FC4">
      <w:pPr>
        <w:spacing w:line="360" w:lineRule="auto"/>
        <w:ind w:firstLine="360"/>
        <w:rPr>
          <w:i/>
          <w:iCs/>
        </w:rPr>
      </w:pPr>
      <w:r w:rsidRPr="006107E5">
        <w:rPr>
          <w:rFonts w:ascii="Arial" w:eastAsia="Times New Roman" w:hAnsi="Arial" w:cs="Arial"/>
          <w:b/>
          <w:bCs/>
          <w:noProof/>
          <w:sz w:val="20"/>
          <w:szCs w:val="20"/>
          <w:lang w:eastAsia="pl-PL"/>
        </w:rPr>
        <w:drawing>
          <wp:inline distT="0" distB="0" distL="0" distR="0">
            <wp:extent cx="4776230" cy="2280062"/>
            <wp:effectExtent l="19050" t="0" r="24370" b="5938"/>
            <wp:docPr id="9"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07E5" w:rsidRPr="00CD5490" w:rsidRDefault="006107E5" w:rsidP="00C93FC4">
      <w:pPr>
        <w:spacing w:line="360" w:lineRule="auto"/>
        <w:ind w:firstLine="360"/>
        <w:rPr>
          <w:rFonts w:ascii="Times New Roman" w:hAnsi="Times New Roman" w:cs="Times New Roman"/>
          <w:sz w:val="24"/>
          <w:szCs w:val="24"/>
        </w:rPr>
      </w:pPr>
      <w:r w:rsidRPr="009A77FC">
        <w:rPr>
          <w:i/>
          <w:iCs/>
        </w:rPr>
        <w:t xml:space="preserve">Źródło: opracowanie własne na podstawie danych </w:t>
      </w:r>
      <w:r>
        <w:rPr>
          <w:i/>
          <w:iCs/>
        </w:rPr>
        <w:t>Biblioteki Narodowej</w:t>
      </w:r>
      <w:r w:rsidR="003A3F63">
        <w:rPr>
          <w:i/>
          <w:iCs/>
        </w:rPr>
        <w:t>.</w:t>
      </w:r>
    </w:p>
    <w:p w:rsidR="006107E5" w:rsidRDefault="006107E5" w:rsidP="00567F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Jak widać</w:t>
      </w:r>
      <w:r w:rsidR="000C493B">
        <w:rPr>
          <w:rFonts w:ascii="Times New Roman" w:hAnsi="Times New Roman" w:cs="Times New Roman"/>
          <w:sz w:val="24"/>
          <w:szCs w:val="24"/>
        </w:rPr>
        <w:t>,</w:t>
      </w:r>
      <w:r>
        <w:rPr>
          <w:rFonts w:ascii="Times New Roman" w:hAnsi="Times New Roman" w:cs="Times New Roman"/>
          <w:sz w:val="24"/>
          <w:szCs w:val="24"/>
        </w:rPr>
        <w:t xml:space="preserve"> wykresy na podstawie GUS i Biblioteki Narodowej są prawie identyczne, różnice </w:t>
      </w:r>
      <w:r w:rsidR="00C93FC4">
        <w:rPr>
          <w:rFonts w:ascii="Times New Roman" w:hAnsi="Times New Roman" w:cs="Times New Roman"/>
          <w:sz w:val="24"/>
          <w:szCs w:val="24"/>
        </w:rPr>
        <w:t xml:space="preserve">wystąpiły </w:t>
      </w:r>
      <w:r>
        <w:rPr>
          <w:rFonts w:ascii="Times New Roman" w:hAnsi="Times New Roman" w:cs="Times New Roman"/>
          <w:sz w:val="24"/>
          <w:szCs w:val="24"/>
        </w:rPr>
        <w:t xml:space="preserve">pomiędzy GUS </w:t>
      </w:r>
      <w:r w:rsidR="00C93FC4">
        <w:rPr>
          <w:rFonts w:ascii="Times New Roman" w:hAnsi="Times New Roman" w:cs="Times New Roman"/>
          <w:sz w:val="24"/>
          <w:szCs w:val="24"/>
        </w:rPr>
        <w:t>oraz</w:t>
      </w:r>
      <w:r>
        <w:rPr>
          <w:rFonts w:ascii="Times New Roman" w:hAnsi="Times New Roman" w:cs="Times New Roman"/>
          <w:sz w:val="24"/>
          <w:szCs w:val="24"/>
        </w:rPr>
        <w:t xml:space="preserve"> Biblioteką Analiz</w:t>
      </w:r>
      <w:r w:rsidR="00C93FC4">
        <w:rPr>
          <w:rFonts w:ascii="Times New Roman" w:hAnsi="Times New Roman" w:cs="Times New Roman"/>
          <w:sz w:val="24"/>
          <w:szCs w:val="24"/>
        </w:rPr>
        <w:t xml:space="preserve"> i są one rozważane poniżej.</w:t>
      </w:r>
    </w:p>
    <w:p w:rsidR="00811A42" w:rsidRDefault="00811A42" w:rsidP="00567F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Liczba</w:t>
      </w:r>
      <w:r w:rsidR="00913E44">
        <w:rPr>
          <w:rFonts w:ascii="Times New Roman" w:hAnsi="Times New Roman" w:cs="Times New Roman"/>
          <w:sz w:val="24"/>
          <w:szCs w:val="24"/>
        </w:rPr>
        <w:t xml:space="preserve"> tytułów w obu wypadkach </w:t>
      </w:r>
      <w:r>
        <w:rPr>
          <w:rFonts w:ascii="Times New Roman" w:hAnsi="Times New Roman" w:cs="Times New Roman"/>
          <w:sz w:val="24"/>
          <w:szCs w:val="24"/>
        </w:rPr>
        <w:t xml:space="preserve">ma </w:t>
      </w:r>
      <w:r w:rsidR="000A56DB">
        <w:rPr>
          <w:rFonts w:ascii="Times New Roman" w:hAnsi="Times New Roman" w:cs="Times New Roman"/>
          <w:sz w:val="24"/>
          <w:szCs w:val="24"/>
        </w:rPr>
        <w:t xml:space="preserve">wieloletni </w:t>
      </w:r>
      <w:r>
        <w:rPr>
          <w:rFonts w:ascii="Times New Roman" w:hAnsi="Times New Roman" w:cs="Times New Roman"/>
          <w:sz w:val="24"/>
          <w:szCs w:val="24"/>
        </w:rPr>
        <w:t>trend wznoszący z tym, że w</w:t>
      </w:r>
      <w:r w:rsidR="000C493B">
        <w:rPr>
          <w:rFonts w:ascii="Times New Roman" w:hAnsi="Times New Roman" w:cs="Times New Roman"/>
          <w:sz w:val="24"/>
          <w:szCs w:val="24"/>
        </w:rPr>
        <w:t>edłu</w:t>
      </w:r>
      <w:r>
        <w:rPr>
          <w:rFonts w:ascii="Times New Roman" w:hAnsi="Times New Roman" w:cs="Times New Roman"/>
          <w:sz w:val="24"/>
          <w:szCs w:val="24"/>
        </w:rPr>
        <w:t>g danych GUS trend ma większą dynamikę. Nakłady wyprodukowanych egzemplarzy książek mają w obu wypadkach tendencję malejącą, ale tutaj dynamika jest większa w</w:t>
      </w:r>
      <w:r w:rsidR="000C493B">
        <w:rPr>
          <w:rFonts w:ascii="Times New Roman" w:hAnsi="Times New Roman" w:cs="Times New Roman"/>
          <w:sz w:val="24"/>
          <w:szCs w:val="24"/>
        </w:rPr>
        <w:t>edłu</w:t>
      </w:r>
      <w:r>
        <w:rPr>
          <w:rFonts w:ascii="Times New Roman" w:hAnsi="Times New Roman" w:cs="Times New Roman"/>
          <w:sz w:val="24"/>
          <w:szCs w:val="24"/>
        </w:rPr>
        <w:t>g danych Biblioteki Analiz. Oczywiście konsekwencją tego jest trend zmniejszania się średniego nakładu.</w:t>
      </w:r>
    </w:p>
    <w:p w:rsidR="000C493B" w:rsidRDefault="00073FAE" w:rsidP="00567F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O ile można znaleźć różnice pomiędzy GUS i Biblioteką Analiz w trendzie w poszczególnych latach</w:t>
      </w:r>
      <w:r w:rsidR="000A56DB">
        <w:rPr>
          <w:rFonts w:ascii="Times New Roman" w:hAnsi="Times New Roman" w:cs="Times New Roman"/>
          <w:sz w:val="24"/>
          <w:szCs w:val="24"/>
        </w:rPr>
        <w:t xml:space="preserve"> (u jednych spadało u drugich rosło)</w:t>
      </w:r>
      <w:r>
        <w:rPr>
          <w:rFonts w:ascii="Times New Roman" w:hAnsi="Times New Roman" w:cs="Times New Roman"/>
          <w:sz w:val="24"/>
          <w:szCs w:val="24"/>
        </w:rPr>
        <w:t>, to w roku</w:t>
      </w:r>
      <w:r w:rsidR="00FC6F38">
        <w:rPr>
          <w:rFonts w:ascii="Times New Roman" w:hAnsi="Times New Roman" w:cs="Times New Roman"/>
          <w:sz w:val="24"/>
          <w:szCs w:val="24"/>
        </w:rPr>
        <w:t xml:space="preserve"> 2012 </w:t>
      </w:r>
      <w:r>
        <w:rPr>
          <w:rFonts w:ascii="Times New Roman" w:hAnsi="Times New Roman" w:cs="Times New Roman"/>
          <w:sz w:val="24"/>
          <w:szCs w:val="24"/>
        </w:rPr>
        <w:t xml:space="preserve">we wszystkich wskaźnikach jest to </w:t>
      </w:r>
      <w:r w:rsidR="000A56DB">
        <w:rPr>
          <w:rFonts w:ascii="Times New Roman" w:hAnsi="Times New Roman" w:cs="Times New Roman"/>
          <w:sz w:val="24"/>
          <w:szCs w:val="24"/>
        </w:rPr>
        <w:t>kierunek</w:t>
      </w:r>
      <w:r>
        <w:rPr>
          <w:rFonts w:ascii="Times New Roman" w:hAnsi="Times New Roman" w:cs="Times New Roman"/>
          <w:sz w:val="24"/>
          <w:szCs w:val="24"/>
        </w:rPr>
        <w:t xml:space="preserve"> zgodny. Wzrasta ilość tytułów, maleje nakład i maleje nakład średni.</w:t>
      </w:r>
      <w:r w:rsidR="00FC6F38">
        <w:rPr>
          <w:rFonts w:ascii="Times New Roman" w:hAnsi="Times New Roman" w:cs="Times New Roman"/>
          <w:sz w:val="24"/>
          <w:szCs w:val="24"/>
        </w:rPr>
        <w:t xml:space="preserve"> </w:t>
      </w:r>
    </w:p>
    <w:p w:rsidR="003A3F63" w:rsidRDefault="003A3F63" w:rsidP="00567F66">
      <w:pPr>
        <w:spacing w:line="360" w:lineRule="auto"/>
        <w:ind w:firstLine="360"/>
        <w:jc w:val="both"/>
        <w:rPr>
          <w:rFonts w:ascii="Times New Roman" w:hAnsi="Times New Roman" w:cs="Times New Roman"/>
          <w:sz w:val="24"/>
          <w:szCs w:val="24"/>
        </w:rPr>
      </w:pPr>
    </w:p>
    <w:p w:rsidR="006E0CB9" w:rsidRDefault="00FC6F38" w:rsidP="00567F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Analizując jeszcze dalej ten element</w:t>
      </w:r>
      <w:r w:rsidR="000C493B">
        <w:rPr>
          <w:rFonts w:ascii="Times New Roman" w:hAnsi="Times New Roman" w:cs="Times New Roman"/>
          <w:sz w:val="24"/>
          <w:szCs w:val="24"/>
        </w:rPr>
        <w:t xml:space="preserve">, </w:t>
      </w:r>
      <w:r>
        <w:rPr>
          <w:rFonts w:ascii="Times New Roman" w:hAnsi="Times New Roman" w:cs="Times New Roman"/>
          <w:sz w:val="24"/>
          <w:szCs w:val="24"/>
        </w:rPr>
        <w:t>widać wzrost liczby tytułów pierwszych wydań</w:t>
      </w:r>
      <w:r w:rsidR="006E0CB9">
        <w:rPr>
          <w:rFonts w:ascii="Times New Roman" w:hAnsi="Times New Roman" w:cs="Times New Roman"/>
          <w:sz w:val="24"/>
          <w:szCs w:val="24"/>
        </w:rPr>
        <w:t>. Jak w soczewce widać walkę wydawnictw o klienta większą paletą propozycji oraz dostarczaniem nowości. Skraca się życie poszczególnych tytułów – coraz krótszy cykl życia produktów jest tendencją dotykającą nie tylko książ</w:t>
      </w:r>
      <w:r w:rsidR="000C493B">
        <w:rPr>
          <w:rFonts w:ascii="Times New Roman" w:hAnsi="Times New Roman" w:cs="Times New Roman"/>
          <w:sz w:val="24"/>
          <w:szCs w:val="24"/>
        </w:rPr>
        <w:t xml:space="preserve">ek, ale i innych </w:t>
      </w:r>
      <w:r w:rsidR="006E0CB9">
        <w:rPr>
          <w:rFonts w:ascii="Times New Roman" w:hAnsi="Times New Roman" w:cs="Times New Roman"/>
          <w:sz w:val="24"/>
          <w:szCs w:val="24"/>
        </w:rPr>
        <w:t>produkt</w:t>
      </w:r>
      <w:r w:rsidR="000C493B">
        <w:rPr>
          <w:rFonts w:ascii="Times New Roman" w:hAnsi="Times New Roman" w:cs="Times New Roman"/>
          <w:sz w:val="24"/>
          <w:szCs w:val="24"/>
        </w:rPr>
        <w:t>ów</w:t>
      </w:r>
      <w:r w:rsidR="006E0CB9">
        <w:rPr>
          <w:rFonts w:ascii="Times New Roman" w:hAnsi="Times New Roman" w:cs="Times New Roman"/>
          <w:sz w:val="24"/>
          <w:szCs w:val="24"/>
        </w:rPr>
        <w:t>.</w:t>
      </w:r>
    </w:p>
    <w:p w:rsidR="003C11CC" w:rsidRDefault="00C56D7C" w:rsidP="00567F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Wyniki te mogą uzasadniać tezę, że coraz więcej książek będzie drukowanych w technice cyfrowej. </w:t>
      </w:r>
      <w:r w:rsidR="000A56DB">
        <w:rPr>
          <w:rFonts w:ascii="Times New Roman" w:hAnsi="Times New Roman" w:cs="Times New Roman"/>
          <w:sz w:val="24"/>
          <w:szCs w:val="24"/>
        </w:rPr>
        <w:t>C</w:t>
      </w:r>
      <w:r>
        <w:rPr>
          <w:rFonts w:ascii="Times New Roman" w:hAnsi="Times New Roman" w:cs="Times New Roman"/>
          <w:sz w:val="24"/>
          <w:szCs w:val="24"/>
        </w:rPr>
        <w:t xml:space="preserve">yfrowe maszyny drukujące </w:t>
      </w:r>
      <w:r w:rsidR="000A56DB">
        <w:rPr>
          <w:rFonts w:ascii="Times New Roman" w:hAnsi="Times New Roman" w:cs="Times New Roman"/>
          <w:sz w:val="24"/>
          <w:szCs w:val="24"/>
        </w:rPr>
        <w:t xml:space="preserve">już </w:t>
      </w:r>
      <w:r>
        <w:rPr>
          <w:rFonts w:ascii="Times New Roman" w:hAnsi="Times New Roman" w:cs="Times New Roman"/>
          <w:sz w:val="24"/>
          <w:szCs w:val="24"/>
        </w:rPr>
        <w:t xml:space="preserve">umożliwiają opłacalne drukowanie większych </w:t>
      </w:r>
      <w:r w:rsidR="00134BB2">
        <w:rPr>
          <w:rFonts w:ascii="Times New Roman" w:hAnsi="Times New Roman" w:cs="Times New Roman"/>
          <w:sz w:val="24"/>
          <w:szCs w:val="24"/>
        </w:rPr>
        <w:t xml:space="preserve">nakładów </w:t>
      </w:r>
      <w:r>
        <w:rPr>
          <w:rFonts w:ascii="Times New Roman" w:hAnsi="Times New Roman" w:cs="Times New Roman"/>
          <w:sz w:val="24"/>
          <w:szCs w:val="24"/>
        </w:rPr>
        <w:t>niż 500 egz</w:t>
      </w:r>
      <w:r w:rsidR="00134BB2">
        <w:rPr>
          <w:rFonts w:ascii="Times New Roman" w:hAnsi="Times New Roman" w:cs="Times New Roman"/>
          <w:sz w:val="24"/>
          <w:szCs w:val="24"/>
        </w:rPr>
        <w:t xml:space="preserve">. </w:t>
      </w:r>
      <w:r w:rsidR="00C93FC4">
        <w:rPr>
          <w:rFonts w:ascii="Times New Roman" w:hAnsi="Times New Roman" w:cs="Times New Roman"/>
          <w:sz w:val="24"/>
          <w:szCs w:val="24"/>
        </w:rPr>
        <w:t>P</w:t>
      </w:r>
      <w:r w:rsidR="00134BB2">
        <w:rPr>
          <w:rFonts w:ascii="Times New Roman" w:hAnsi="Times New Roman" w:cs="Times New Roman"/>
          <w:sz w:val="24"/>
          <w:szCs w:val="24"/>
        </w:rPr>
        <w:t>roponowane są zintegrowane linie wykonywania książek w oprawie miękkiej oraz twardej zawierające moduły drukowania cyfrowego i operacji introligatorskich. Istotnym elementem tego typu rozwiązań jest szybki czas wykonania nakładu oraz bardzo małe ilości makulatury technologicznej – wynikające z małej ilości egzemplarzy makulaturowych od wykonania pierwszej odbitki do wykonania odbitki nakładowej (z akceptowalną jakością).</w:t>
      </w:r>
    </w:p>
    <w:p w:rsidR="00D811BB" w:rsidRPr="000A56DB" w:rsidRDefault="00D811BB" w:rsidP="00567F66">
      <w:pPr>
        <w:spacing w:line="360" w:lineRule="auto"/>
        <w:ind w:firstLine="360"/>
        <w:jc w:val="both"/>
        <w:rPr>
          <w:rFonts w:ascii="Times New Roman" w:hAnsi="Times New Roman" w:cs="Times New Roman"/>
          <w:sz w:val="24"/>
          <w:szCs w:val="24"/>
        </w:rPr>
      </w:pPr>
    </w:p>
    <w:p w:rsidR="00A94D4D" w:rsidRPr="00A94D4D" w:rsidRDefault="00A94D4D" w:rsidP="001A4B90">
      <w:pPr>
        <w:pStyle w:val="Akapitzlist"/>
        <w:numPr>
          <w:ilvl w:val="0"/>
          <w:numId w:val="29"/>
        </w:numPr>
        <w:spacing w:line="360" w:lineRule="auto"/>
        <w:jc w:val="both"/>
        <w:rPr>
          <w:rFonts w:ascii="Times New Roman" w:hAnsi="Times New Roman" w:cs="Times New Roman"/>
          <w:vanish/>
          <w:sz w:val="24"/>
          <w:szCs w:val="24"/>
        </w:rPr>
      </w:pPr>
    </w:p>
    <w:p w:rsidR="00A94D4D" w:rsidRPr="00A94D4D" w:rsidRDefault="00A94D4D" w:rsidP="001A4B90">
      <w:pPr>
        <w:pStyle w:val="Akapitzlist"/>
        <w:numPr>
          <w:ilvl w:val="0"/>
          <w:numId w:val="29"/>
        </w:numPr>
        <w:spacing w:line="360" w:lineRule="auto"/>
        <w:jc w:val="both"/>
        <w:rPr>
          <w:rFonts w:ascii="Times New Roman" w:hAnsi="Times New Roman" w:cs="Times New Roman"/>
          <w:vanish/>
          <w:sz w:val="24"/>
          <w:szCs w:val="24"/>
        </w:rPr>
      </w:pPr>
    </w:p>
    <w:p w:rsidR="00A94D4D" w:rsidRPr="00A94D4D" w:rsidRDefault="00A94D4D" w:rsidP="001A4B90">
      <w:pPr>
        <w:pStyle w:val="Akapitzlist"/>
        <w:numPr>
          <w:ilvl w:val="1"/>
          <w:numId w:val="29"/>
        </w:numPr>
        <w:spacing w:line="360" w:lineRule="auto"/>
        <w:jc w:val="both"/>
        <w:rPr>
          <w:rFonts w:ascii="Times New Roman" w:hAnsi="Times New Roman" w:cs="Times New Roman"/>
          <w:vanish/>
          <w:sz w:val="24"/>
          <w:szCs w:val="24"/>
        </w:rPr>
      </w:pPr>
    </w:p>
    <w:p w:rsidR="00A94D4D" w:rsidRPr="00A94D4D" w:rsidRDefault="00A94D4D" w:rsidP="001A4B90">
      <w:pPr>
        <w:pStyle w:val="Akapitzlist"/>
        <w:numPr>
          <w:ilvl w:val="1"/>
          <w:numId w:val="29"/>
        </w:numPr>
        <w:spacing w:line="360" w:lineRule="auto"/>
        <w:jc w:val="both"/>
        <w:rPr>
          <w:rFonts w:ascii="Times New Roman" w:hAnsi="Times New Roman" w:cs="Times New Roman"/>
          <w:vanish/>
          <w:sz w:val="24"/>
          <w:szCs w:val="24"/>
        </w:rPr>
      </w:pPr>
    </w:p>
    <w:p w:rsidR="00913586" w:rsidRPr="00E629C9" w:rsidRDefault="005F2627" w:rsidP="00332277">
      <w:pPr>
        <w:pStyle w:val="Akapitzlist"/>
        <w:numPr>
          <w:ilvl w:val="2"/>
          <w:numId w:val="28"/>
        </w:numPr>
        <w:spacing w:line="360" w:lineRule="auto"/>
        <w:ind w:left="1638"/>
        <w:jc w:val="both"/>
        <w:rPr>
          <w:rFonts w:ascii="Times New Roman" w:hAnsi="Times New Roman" w:cs="Times New Roman"/>
          <w:sz w:val="24"/>
          <w:szCs w:val="24"/>
        </w:rPr>
      </w:pPr>
      <w:bookmarkStart w:id="4" w:name="OLE_LINK4"/>
      <w:bookmarkStart w:id="5" w:name="OLE_LINK7"/>
      <w:bookmarkStart w:id="6" w:name="OLE_LINK8"/>
      <w:r>
        <w:rPr>
          <w:rFonts w:ascii="Times New Roman" w:hAnsi="Times New Roman" w:cs="Times New Roman"/>
          <w:sz w:val="24"/>
          <w:szCs w:val="24"/>
        </w:rPr>
        <w:t>Wydawnicze grupy strategiczne</w:t>
      </w:r>
    </w:p>
    <w:p w:rsidR="00D811BB" w:rsidRDefault="005F2627"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W czasach minionych funkcjonowały wydawnictwa, których obszar działalności był ustalony i w zasadzie nie podlegał zmianom. Były więc wydawnictwa </w:t>
      </w:r>
      <w:r w:rsidR="008A6B02">
        <w:rPr>
          <w:rFonts w:ascii="Times New Roman" w:hAnsi="Times New Roman" w:cs="Times New Roman"/>
          <w:sz w:val="24"/>
          <w:szCs w:val="24"/>
        </w:rPr>
        <w:t>b</w:t>
      </w:r>
      <w:r>
        <w:rPr>
          <w:rFonts w:ascii="Times New Roman" w:hAnsi="Times New Roman" w:cs="Times New Roman"/>
          <w:sz w:val="24"/>
          <w:szCs w:val="24"/>
        </w:rPr>
        <w:t xml:space="preserve">eletrystyki, </w:t>
      </w:r>
      <w:r w:rsidR="008A6B02">
        <w:rPr>
          <w:rFonts w:ascii="Times New Roman" w:hAnsi="Times New Roman" w:cs="Times New Roman"/>
          <w:sz w:val="24"/>
          <w:szCs w:val="24"/>
        </w:rPr>
        <w:t>s</w:t>
      </w:r>
      <w:r>
        <w:rPr>
          <w:rFonts w:ascii="Times New Roman" w:hAnsi="Times New Roman" w:cs="Times New Roman"/>
          <w:sz w:val="24"/>
          <w:szCs w:val="24"/>
        </w:rPr>
        <w:t xml:space="preserve">łowników i </w:t>
      </w:r>
      <w:r w:rsidR="008A6B02">
        <w:rPr>
          <w:rFonts w:ascii="Times New Roman" w:hAnsi="Times New Roman" w:cs="Times New Roman"/>
          <w:sz w:val="24"/>
          <w:szCs w:val="24"/>
        </w:rPr>
        <w:t>e</w:t>
      </w:r>
      <w:r>
        <w:rPr>
          <w:rFonts w:ascii="Times New Roman" w:hAnsi="Times New Roman" w:cs="Times New Roman"/>
          <w:sz w:val="24"/>
          <w:szCs w:val="24"/>
        </w:rPr>
        <w:t xml:space="preserve">ncyklopedii, </w:t>
      </w:r>
      <w:r w:rsidR="008A6B02">
        <w:rPr>
          <w:rFonts w:ascii="Times New Roman" w:hAnsi="Times New Roman" w:cs="Times New Roman"/>
          <w:sz w:val="24"/>
          <w:szCs w:val="24"/>
        </w:rPr>
        <w:t>m</w:t>
      </w:r>
      <w:r>
        <w:rPr>
          <w:rFonts w:ascii="Times New Roman" w:hAnsi="Times New Roman" w:cs="Times New Roman"/>
          <w:sz w:val="24"/>
          <w:szCs w:val="24"/>
        </w:rPr>
        <w:t>edyczne itp. Obecnie trudno znaleźć wydawnictwa o czystym profilu wydawniczym</w:t>
      </w:r>
      <w:r w:rsidR="000C493B">
        <w:rPr>
          <w:rFonts w:ascii="Times New Roman" w:hAnsi="Times New Roman" w:cs="Times New Roman"/>
          <w:sz w:val="24"/>
          <w:szCs w:val="24"/>
        </w:rPr>
        <w:t>,</w:t>
      </w:r>
      <w:r>
        <w:rPr>
          <w:rFonts w:ascii="Times New Roman" w:hAnsi="Times New Roman" w:cs="Times New Roman"/>
          <w:sz w:val="24"/>
          <w:szCs w:val="24"/>
        </w:rPr>
        <w:t xml:space="preserve"> ponieważ gra rynkowa wymaga działalności w tym obszarze, w którym jest możliwość uzyskania dobrego wyniku finansowego. </w:t>
      </w:r>
      <w:r w:rsidR="00C96142">
        <w:rPr>
          <w:rFonts w:ascii="Times New Roman" w:hAnsi="Times New Roman" w:cs="Times New Roman"/>
          <w:sz w:val="24"/>
          <w:szCs w:val="24"/>
        </w:rPr>
        <w:t>Jednak m</w:t>
      </w:r>
      <w:r>
        <w:rPr>
          <w:rFonts w:ascii="Times New Roman" w:hAnsi="Times New Roman" w:cs="Times New Roman"/>
          <w:sz w:val="24"/>
          <w:szCs w:val="24"/>
        </w:rPr>
        <w:t xml:space="preserve">ożna mówić o profilach wydawniczych </w:t>
      </w:r>
      <w:r w:rsidR="00C96142">
        <w:rPr>
          <w:rFonts w:ascii="Times New Roman" w:hAnsi="Times New Roman" w:cs="Times New Roman"/>
          <w:sz w:val="24"/>
          <w:szCs w:val="24"/>
        </w:rPr>
        <w:t>wydawców</w:t>
      </w:r>
      <w:r w:rsidR="008A6B02">
        <w:rPr>
          <w:rFonts w:ascii="Times New Roman" w:hAnsi="Times New Roman" w:cs="Times New Roman"/>
          <w:sz w:val="24"/>
          <w:szCs w:val="24"/>
        </w:rPr>
        <w:t xml:space="preserve"> </w:t>
      </w:r>
      <w:r w:rsidR="00C96142">
        <w:rPr>
          <w:rFonts w:ascii="Times New Roman" w:hAnsi="Times New Roman" w:cs="Times New Roman"/>
          <w:sz w:val="24"/>
          <w:szCs w:val="24"/>
        </w:rPr>
        <w:t xml:space="preserve">tam, </w:t>
      </w:r>
      <w:r>
        <w:rPr>
          <w:rFonts w:ascii="Times New Roman" w:hAnsi="Times New Roman" w:cs="Times New Roman"/>
          <w:sz w:val="24"/>
          <w:szCs w:val="24"/>
        </w:rPr>
        <w:t xml:space="preserve">gdzie dany rodzaj wydawnictw </w:t>
      </w:r>
      <w:r w:rsidR="00C96142">
        <w:rPr>
          <w:rFonts w:ascii="Times New Roman" w:hAnsi="Times New Roman" w:cs="Times New Roman"/>
          <w:sz w:val="24"/>
          <w:szCs w:val="24"/>
        </w:rPr>
        <w:t>przeważa.</w:t>
      </w:r>
    </w:p>
    <w:p w:rsidR="00D811BB" w:rsidRDefault="00D811B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C96142" w:rsidRPr="000C493B" w:rsidRDefault="00567F66" w:rsidP="00C96142">
      <w:pPr>
        <w:spacing w:after="0" w:line="240" w:lineRule="auto"/>
        <w:ind w:firstLine="360"/>
        <w:rPr>
          <w:rFonts w:ascii="Times New Roman" w:eastAsia="Times New Roman" w:hAnsi="Times New Roman" w:cs="Times New Roman"/>
          <w:b/>
          <w:bCs/>
          <w:sz w:val="24"/>
          <w:szCs w:val="24"/>
          <w:lang w:eastAsia="pl-PL"/>
        </w:rPr>
      </w:pPr>
      <w:r>
        <w:rPr>
          <w:rFonts w:ascii="Arial" w:eastAsia="Times New Roman" w:hAnsi="Arial" w:cs="Arial"/>
          <w:b/>
          <w:bCs/>
          <w:sz w:val="20"/>
          <w:szCs w:val="20"/>
          <w:lang w:eastAsia="pl-PL"/>
        </w:rPr>
        <w:lastRenderedPageBreak/>
        <w:br/>
      </w:r>
      <w:r w:rsidR="00C96142" w:rsidRPr="000C493B">
        <w:rPr>
          <w:rFonts w:ascii="Times New Roman" w:eastAsia="Times New Roman" w:hAnsi="Times New Roman" w:cs="Times New Roman"/>
          <w:b/>
          <w:bCs/>
          <w:sz w:val="24"/>
          <w:szCs w:val="24"/>
          <w:lang w:eastAsia="pl-PL"/>
        </w:rPr>
        <w:t>Mapa grup strategicznych wydawnictw</w:t>
      </w:r>
      <w:r w:rsidR="0078462F" w:rsidRPr="000C493B">
        <w:rPr>
          <w:rFonts w:ascii="Times New Roman" w:eastAsia="Times New Roman" w:hAnsi="Times New Roman" w:cs="Times New Roman"/>
          <w:b/>
          <w:bCs/>
          <w:sz w:val="24"/>
          <w:szCs w:val="24"/>
          <w:lang w:eastAsia="pl-PL"/>
        </w:rPr>
        <w:t xml:space="preserve"> I</w:t>
      </w:r>
    </w:p>
    <w:p w:rsidR="00C96142" w:rsidRPr="00C96142" w:rsidRDefault="00C96142" w:rsidP="00C96142">
      <w:pPr>
        <w:spacing w:after="0" w:line="240" w:lineRule="auto"/>
        <w:ind w:firstLine="360"/>
        <w:rPr>
          <w:rFonts w:ascii="Arial" w:eastAsia="Times New Roman" w:hAnsi="Arial" w:cs="Arial"/>
          <w:b/>
          <w:bCs/>
          <w:sz w:val="20"/>
          <w:szCs w:val="20"/>
          <w:lang w:eastAsia="pl-PL"/>
        </w:rPr>
      </w:pPr>
    </w:p>
    <w:p w:rsidR="003C11CC" w:rsidRDefault="00C96142" w:rsidP="00C96142">
      <w:pPr>
        <w:rPr>
          <w:rFonts w:ascii="Times New Roman" w:hAnsi="Times New Roman" w:cs="Times New Roman"/>
          <w:noProof/>
          <w:sz w:val="24"/>
          <w:szCs w:val="24"/>
          <w:lang w:eastAsia="pl-PL"/>
        </w:rPr>
      </w:pPr>
      <w:r w:rsidRPr="00C96142">
        <w:rPr>
          <w:rFonts w:ascii="Times New Roman" w:hAnsi="Times New Roman" w:cs="Times New Roman"/>
          <w:noProof/>
          <w:sz w:val="24"/>
          <w:szCs w:val="24"/>
          <w:lang w:eastAsia="pl-PL"/>
        </w:rPr>
        <w:drawing>
          <wp:inline distT="0" distB="0" distL="0" distR="0">
            <wp:extent cx="5497505" cy="3249753"/>
            <wp:effectExtent l="19050" t="0" r="26995" b="7797"/>
            <wp:docPr id="11"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11CC" w:rsidRDefault="003C11CC" w:rsidP="008A6B02">
      <w:pPr>
        <w:spacing w:line="360" w:lineRule="auto"/>
        <w:ind w:firstLine="360"/>
        <w:rPr>
          <w:i/>
          <w:iCs/>
        </w:rPr>
      </w:pPr>
      <w:r w:rsidRPr="008A6B02">
        <w:rPr>
          <w:i/>
          <w:iCs/>
        </w:rPr>
        <w:t>Źródło: opracowanie własne</w:t>
      </w:r>
      <w:r w:rsidR="00C96142" w:rsidRPr="008A6B02">
        <w:rPr>
          <w:i/>
          <w:iCs/>
        </w:rPr>
        <w:t xml:space="preserve"> na podstawie danych Biblioteki Analiz</w:t>
      </w:r>
      <w:r w:rsidR="003A3F63">
        <w:rPr>
          <w:i/>
          <w:iCs/>
        </w:rPr>
        <w:t>.</w:t>
      </w:r>
    </w:p>
    <w:p w:rsidR="003C11CC" w:rsidRDefault="003C11CC"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Przedstawiona na rysunku mapa grup strategicznych jest umiejscowiona na obszarze opisanym </w:t>
      </w:r>
      <w:r w:rsidR="008A6B02">
        <w:rPr>
          <w:rFonts w:ascii="Times New Roman" w:hAnsi="Times New Roman" w:cs="Times New Roman"/>
          <w:sz w:val="24"/>
          <w:szCs w:val="24"/>
        </w:rPr>
        <w:t>wartością sprzedaży</w:t>
      </w:r>
      <w:r>
        <w:rPr>
          <w:rFonts w:ascii="Times New Roman" w:hAnsi="Times New Roman" w:cs="Times New Roman"/>
          <w:sz w:val="24"/>
          <w:szCs w:val="24"/>
        </w:rPr>
        <w:t xml:space="preserve"> i </w:t>
      </w:r>
      <w:r w:rsidR="00C96142">
        <w:rPr>
          <w:rFonts w:ascii="Times New Roman" w:hAnsi="Times New Roman" w:cs="Times New Roman"/>
          <w:sz w:val="24"/>
          <w:szCs w:val="24"/>
        </w:rPr>
        <w:t>liczbą tytułów</w:t>
      </w:r>
      <w:r>
        <w:rPr>
          <w:rFonts w:ascii="Times New Roman" w:hAnsi="Times New Roman" w:cs="Times New Roman"/>
          <w:sz w:val="24"/>
          <w:szCs w:val="24"/>
        </w:rPr>
        <w:t xml:space="preserve">, średnicę poszczególnych </w:t>
      </w:r>
      <w:r w:rsidR="000F1680">
        <w:rPr>
          <w:rFonts w:ascii="Times New Roman" w:hAnsi="Times New Roman" w:cs="Times New Roman"/>
          <w:sz w:val="24"/>
          <w:szCs w:val="24"/>
        </w:rPr>
        <w:t>profili</w:t>
      </w:r>
      <w:r>
        <w:rPr>
          <w:rFonts w:ascii="Times New Roman" w:hAnsi="Times New Roman" w:cs="Times New Roman"/>
          <w:sz w:val="24"/>
          <w:szCs w:val="24"/>
        </w:rPr>
        <w:t xml:space="preserve"> określa </w:t>
      </w:r>
      <w:r w:rsidR="008A6B02">
        <w:rPr>
          <w:rFonts w:ascii="Times New Roman" w:hAnsi="Times New Roman" w:cs="Times New Roman"/>
          <w:sz w:val="24"/>
          <w:szCs w:val="24"/>
        </w:rPr>
        <w:t>nakład łączny danego rodzaju działalności</w:t>
      </w:r>
      <w:r w:rsidR="00C96142">
        <w:rPr>
          <w:rFonts w:ascii="Times New Roman" w:hAnsi="Times New Roman" w:cs="Times New Roman"/>
          <w:sz w:val="24"/>
          <w:szCs w:val="24"/>
        </w:rPr>
        <w:t>.</w:t>
      </w:r>
    </w:p>
    <w:p w:rsidR="00A03D3C" w:rsidRDefault="00EE1685" w:rsidP="00A03D3C">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Największą sprzedaż z bardzo dużą liczbą tytułów osiągają wydawcy książek fachowych</w:t>
      </w:r>
      <w:r w:rsidR="00716AF8">
        <w:rPr>
          <w:rFonts w:ascii="Times New Roman" w:hAnsi="Times New Roman" w:cs="Times New Roman"/>
          <w:sz w:val="24"/>
          <w:szCs w:val="24"/>
        </w:rPr>
        <w:t xml:space="preserve">. </w:t>
      </w:r>
      <w:r>
        <w:rPr>
          <w:rFonts w:ascii="Times New Roman" w:hAnsi="Times New Roman" w:cs="Times New Roman"/>
          <w:sz w:val="24"/>
          <w:szCs w:val="24"/>
        </w:rPr>
        <w:t>Książki te charakteryzują się dużą liczbą tytułów przy niskich nakładach, jednocześnie przy dość wysokich cenach, co pozwala uzyska</w:t>
      </w:r>
      <w:r w:rsidR="00B5089B">
        <w:rPr>
          <w:rFonts w:ascii="Times New Roman" w:hAnsi="Times New Roman" w:cs="Times New Roman"/>
          <w:sz w:val="24"/>
          <w:szCs w:val="24"/>
        </w:rPr>
        <w:t xml:space="preserve">ć </w:t>
      </w:r>
      <w:r>
        <w:rPr>
          <w:rFonts w:ascii="Times New Roman" w:hAnsi="Times New Roman" w:cs="Times New Roman"/>
          <w:sz w:val="24"/>
          <w:szCs w:val="24"/>
        </w:rPr>
        <w:t>duże przychody. Tego typu książek raczej się nie kupuje ze względu na emocje (</w:t>
      </w:r>
      <w:r w:rsidR="000C493B">
        <w:rPr>
          <w:rFonts w:ascii="Times New Roman" w:hAnsi="Times New Roman" w:cs="Times New Roman"/>
          <w:sz w:val="24"/>
          <w:szCs w:val="24"/>
        </w:rPr>
        <w:t>„</w:t>
      </w:r>
      <w:r>
        <w:rPr>
          <w:rFonts w:ascii="Times New Roman" w:hAnsi="Times New Roman" w:cs="Times New Roman"/>
          <w:sz w:val="24"/>
          <w:szCs w:val="24"/>
        </w:rPr>
        <w:t>bo mi się podoba</w:t>
      </w:r>
      <w:r w:rsidR="000C493B">
        <w:rPr>
          <w:rFonts w:ascii="Times New Roman" w:hAnsi="Times New Roman" w:cs="Times New Roman"/>
          <w:sz w:val="24"/>
          <w:szCs w:val="24"/>
        </w:rPr>
        <w:t>”</w:t>
      </w:r>
      <w:r>
        <w:rPr>
          <w:rFonts w:ascii="Times New Roman" w:hAnsi="Times New Roman" w:cs="Times New Roman"/>
          <w:sz w:val="24"/>
          <w:szCs w:val="24"/>
        </w:rPr>
        <w:t>), kupuje się</w:t>
      </w:r>
      <w:r w:rsidR="000C493B">
        <w:rPr>
          <w:rFonts w:ascii="Times New Roman" w:hAnsi="Times New Roman" w:cs="Times New Roman"/>
          <w:sz w:val="24"/>
          <w:szCs w:val="24"/>
        </w:rPr>
        <w:t>,</w:t>
      </w:r>
      <w:r>
        <w:rPr>
          <w:rFonts w:ascii="Times New Roman" w:hAnsi="Times New Roman" w:cs="Times New Roman"/>
          <w:sz w:val="24"/>
          <w:szCs w:val="24"/>
        </w:rPr>
        <w:t xml:space="preserve"> bo są danej osobie potrzebne w działalności naukowej lub zawodowej,</w:t>
      </w:r>
      <w:r w:rsidR="00716AF8">
        <w:rPr>
          <w:rFonts w:ascii="Times New Roman" w:hAnsi="Times New Roman" w:cs="Times New Roman"/>
          <w:sz w:val="24"/>
          <w:szCs w:val="24"/>
        </w:rPr>
        <w:t xml:space="preserve"> </w:t>
      </w:r>
      <w:r>
        <w:rPr>
          <w:rFonts w:ascii="Times New Roman" w:hAnsi="Times New Roman" w:cs="Times New Roman"/>
          <w:sz w:val="24"/>
          <w:szCs w:val="24"/>
        </w:rPr>
        <w:t>a wtedy</w:t>
      </w:r>
      <w:r w:rsidR="000F1680">
        <w:rPr>
          <w:rFonts w:ascii="Times New Roman" w:hAnsi="Times New Roman" w:cs="Times New Roman"/>
          <w:sz w:val="24"/>
          <w:szCs w:val="24"/>
        </w:rPr>
        <w:t xml:space="preserve"> cena schodzi na dalszy plan. </w:t>
      </w:r>
      <w:r>
        <w:rPr>
          <w:rFonts w:ascii="Times New Roman" w:hAnsi="Times New Roman" w:cs="Times New Roman"/>
          <w:sz w:val="24"/>
          <w:szCs w:val="24"/>
        </w:rPr>
        <w:t>Inną sprawą jest</w:t>
      </w:r>
      <w:r w:rsidR="00A03D3C">
        <w:rPr>
          <w:rFonts w:ascii="Times New Roman" w:hAnsi="Times New Roman" w:cs="Times New Roman"/>
          <w:sz w:val="24"/>
          <w:szCs w:val="24"/>
        </w:rPr>
        <w:t xml:space="preserve">, </w:t>
      </w:r>
      <w:r>
        <w:rPr>
          <w:rFonts w:ascii="Times New Roman" w:hAnsi="Times New Roman" w:cs="Times New Roman"/>
          <w:sz w:val="24"/>
          <w:szCs w:val="24"/>
        </w:rPr>
        <w:t>jak</w:t>
      </w:r>
      <w:r w:rsidR="00647FB9">
        <w:rPr>
          <w:rFonts w:ascii="Times New Roman" w:hAnsi="Times New Roman" w:cs="Times New Roman"/>
          <w:sz w:val="24"/>
          <w:szCs w:val="24"/>
        </w:rPr>
        <w:t xml:space="preserve">i jest zysk na tej działalności, </w:t>
      </w:r>
      <w:r w:rsidR="000F1680">
        <w:rPr>
          <w:rFonts w:ascii="Times New Roman" w:hAnsi="Times New Roman" w:cs="Times New Roman"/>
          <w:sz w:val="24"/>
          <w:szCs w:val="24"/>
        </w:rPr>
        <w:t>ponieważ koszty wydawnicze są wysokie.</w:t>
      </w:r>
      <w:r w:rsidR="008A6B02">
        <w:rPr>
          <w:rFonts w:ascii="Times New Roman" w:hAnsi="Times New Roman" w:cs="Times New Roman"/>
          <w:sz w:val="24"/>
          <w:szCs w:val="24"/>
        </w:rPr>
        <w:t xml:space="preserve"> </w:t>
      </w:r>
    </w:p>
    <w:p w:rsidR="000C493B" w:rsidRDefault="000C493B" w:rsidP="00A03D3C">
      <w:pPr>
        <w:pStyle w:val="Akapitzlist"/>
        <w:spacing w:line="360" w:lineRule="auto"/>
        <w:ind w:left="0" w:firstLine="360"/>
        <w:jc w:val="both"/>
        <w:rPr>
          <w:rFonts w:ascii="Times New Roman" w:hAnsi="Times New Roman"/>
          <w:sz w:val="24"/>
          <w:szCs w:val="24"/>
        </w:rPr>
      </w:pPr>
    </w:p>
    <w:p w:rsidR="000C493B" w:rsidRDefault="000C493B" w:rsidP="00A03D3C">
      <w:pPr>
        <w:pStyle w:val="Akapitzlist"/>
        <w:spacing w:line="360" w:lineRule="auto"/>
        <w:ind w:left="0" w:firstLine="360"/>
        <w:jc w:val="both"/>
        <w:rPr>
          <w:rFonts w:ascii="Times New Roman" w:hAnsi="Times New Roman"/>
          <w:sz w:val="24"/>
          <w:szCs w:val="24"/>
        </w:rPr>
      </w:pPr>
    </w:p>
    <w:p w:rsidR="00A03D3C" w:rsidRPr="00A03D3C" w:rsidRDefault="00A03D3C" w:rsidP="00A03D3C">
      <w:pPr>
        <w:pStyle w:val="Akapitzlist"/>
        <w:spacing w:line="360" w:lineRule="auto"/>
        <w:ind w:left="0" w:firstLine="360"/>
        <w:jc w:val="both"/>
        <w:rPr>
          <w:rFonts w:ascii="Times New Roman" w:hAnsi="Times New Roman" w:cs="Times New Roman"/>
          <w:sz w:val="24"/>
          <w:szCs w:val="24"/>
        </w:rPr>
      </w:pPr>
      <w:r w:rsidRPr="00935B2D">
        <w:rPr>
          <w:rFonts w:ascii="Times New Roman" w:hAnsi="Times New Roman"/>
          <w:sz w:val="24"/>
          <w:szCs w:val="24"/>
        </w:rPr>
        <w:lastRenderedPageBreak/>
        <w:t>Książki naukowe i akademickie stanowią największą l</w:t>
      </w:r>
      <w:r w:rsidR="00C02657">
        <w:rPr>
          <w:rFonts w:ascii="Times New Roman" w:hAnsi="Times New Roman"/>
          <w:sz w:val="24"/>
          <w:szCs w:val="24"/>
        </w:rPr>
        <w:t xml:space="preserve">iczbę wydanych tytułów, która w </w:t>
      </w:r>
      <w:r w:rsidRPr="00935B2D">
        <w:rPr>
          <w:rFonts w:ascii="Times New Roman" w:hAnsi="Times New Roman"/>
          <w:sz w:val="24"/>
          <w:szCs w:val="24"/>
        </w:rPr>
        <w:t>ostatnich latach utrzymuje się na poziomie przekraczającym 40 proc. wszystkich wydanych tytułów w Polsce. Jednakże wielkość sprzedaży w tym segmencie nie przekracza 17 proc. wartości łącznej sprzedaży na rynku. Oznacza to, że nakłady tych tytułów są niskie (są to głównie publikacje niskonakładowe), a ich ceny nie są wysokie. W tym  sektorze działają dwie grupy wydawców: wydawnictwa uczelniane, które funkcjonują (poza jednym wyjątkiem) w strukturach uczelni wyższych oraz wydawnictwa komercyjne, wśród których jest duża liczba mikrowydawnictw. Dodatkowym problemem tego sektora jest wstrzymanie dotacji resoru nauki i szkolnictwa wyższego na podręczniki akademickie.</w:t>
      </w:r>
    </w:p>
    <w:p w:rsidR="003C11CC" w:rsidRDefault="00EE1685"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W dalszym ciągu duży jest rynek </w:t>
      </w:r>
      <w:r w:rsidR="000F1680">
        <w:rPr>
          <w:rFonts w:ascii="Times New Roman" w:hAnsi="Times New Roman" w:cs="Times New Roman"/>
          <w:sz w:val="24"/>
          <w:szCs w:val="24"/>
        </w:rPr>
        <w:t xml:space="preserve">dla wydawców </w:t>
      </w:r>
      <w:r>
        <w:rPr>
          <w:rFonts w:ascii="Times New Roman" w:hAnsi="Times New Roman" w:cs="Times New Roman"/>
          <w:sz w:val="24"/>
          <w:szCs w:val="24"/>
        </w:rPr>
        <w:t>podręczników szkolnych, szczególnie w ostatnim okresie, gdy nastąpił</w:t>
      </w:r>
      <w:r w:rsidR="000F1680">
        <w:rPr>
          <w:rFonts w:ascii="Times New Roman" w:hAnsi="Times New Roman" w:cs="Times New Roman"/>
          <w:sz w:val="24"/>
          <w:szCs w:val="24"/>
        </w:rPr>
        <w:t>y</w:t>
      </w:r>
      <w:r>
        <w:rPr>
          <w:rFonts w:ascii="Times New Roman" w:hAnsi="Times New Roman" w:cs="Times New Roman"/>
          <w:sz w:val="24"/>
          <w:szCs w:val="24"/>
        </w:rPr>
        <w:t xml:space="preserve"> zmiany programowe wymagające nowych podręczników.</w:t>
      </w:r>
      <w:r w:rsidR="000F1680">
        <w:rPr>
          <w:rFonts w:ascii="Times New Roman" w:hAnsi="Times New Roman" w:cs="Times New Roman"/>
          <w:sz w:val="24"/>
          <w:szCs w:val="24"/>
        </w:rPr>
        <w:t xml:space="preserve"> Będzie interesującym jak </w:t>
      </w:r>
      <w:r w:rsidR="008A6B02">
        <w:rPr>
          <w:rFonts w:ascii="Times New Roman" w:hAnsi="Times New Roman" w:cs="Times New Roman"/>
          <w:sz w:val="24"/>
          <w:szCs w:val="24"/>
        </w:rPr>
        <w:t>zachowa</w:t>
      </w:r>
      <w:r w:rsidR="000F1680">
        <w:rPr>
          <w:rFonts w:ascii="Times New Roman" w:hAnsi="Times New Roman" w:cs="Times New Roman"/>
          <w:sz w:val="24"/>
          <w:szCs w:val="24"/>
        </w:rPr>
        <w:t xml:space="preserve"> się ta grupa </w:t>
      </w:r>
      <w:r w:rsidR="008A6B02">
        <w:rPr>
          <w:rFonts w:ascii="Times New Roman" w:hAnsi="Times New Roman" w:cs="Times New Roman"/>
          <w:sz w:val="24"/>
          <w:szCs w:val="24"/>
        </w:rPr>
        <w:t xml:space="preserve">wydawnictw </w:t>
      </w:r>
      <w:r w:rsidR="000F1680">
        <w:rPr>
          <w:rFonts w:ascii="Times New Roman" w:hAnsi="Times New Roman" w:cs="Times New Roman"/>
          <w:sz w:val="24"/>
          <w:szCs w:val="24"/>
        </w:rPr>
        <w:t>w dalszej perspektywie przy wchodzeniu do szkół e-podręczników.</w:t>
      </w:r>
    </w:p>
    <w:p w:rsidR="003C11CC" w:rsidRDefault="00EE1685"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Najbardziej widoczna w księgarniach grupa </w:t>
      </w:r>
      <w:r w:rsidR="000F1680">
        <w:rPr>
          <w:rFonts w:ascii="Times New Roman" w:hAnsi="Times New Roman" w:cs="Times New Roman"/>
          <w:sz w:val="24"/>
          <w:szCs w:val="24"/>
        </w:rPr>
        <w:t xml:space="preserve">wydawców </w:t>
      </w:r>
      <w:r>
        <w:rPr>
          <w:rFonts w:ascii="Times New Roman" w:hAnsi="Times New Roman" w:cs="Times New Roman"/>
          <w:sz w:val="24"/>
          <w:szCs w:val="24"/>
        </w:rPr>
        <w:t>książek beletrystycznych wcale nie ma najważniejszej pozycji. Liczba tytułów jest dość duża, ale m.in. z tego też względu</w:t>
      </w:r>
      <w:r w:rsidR="000F1680">
        <w:rPr>
          <w:rFonts w:ascii="Times New Roman" w:hAnsi="Times New Roman" w:cs="Times New Roman"/>
          <w:sz w:val="24"/>
          <w:szCs w:val="24"/>
        </w:rPr>
        <w:t xml:space="preserve"> jest duża konkurencja powodująca trzymanie w ryzach cen oraz konkurowanie wyglądem okładki – co kosztuje.</w:t>
      </w:r>
    </w:p>
    <w:p w:rsidR="008B4177" w:rsidRDefault="008B4177"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Wymienione grupy stanowią same w sobie trzy samodzielne grupy strategiczne mające odmienny sposób prowadzenia procesów wydawniczych, inny marketing i inne grupy czytelnicze.</w:t>
      </w:r>
    </w:p>
    <w:p w:rsidR="003C11CC" w:rsidRDefault="000F1680"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Jako jedną grupę można potraktować książki dla dzieci, religijne i wydawnictw albumowych. Podobna ilość tytułów i mniejsze przychody sytuują je prawie w tym samym obszarze.</w:t>
      </w:r>
    </w:p>
    <w:p w:rsidR="003C11CC" w:rsidRDefault="000F1680"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Wydawnictwa zajmujące się książkami pozostałymi</w:t>
      </w:r>
      <w:r w:rsidR="008B4177">
        <w:rPr>
          <w:rFonts w:ascii="Times New Roman" w:hAnsi="Times New Roman" w:cs="Times New Roman"/>
          <w:sz w:val="24"/>
          <w:szCs w:val="24"/>
        </w:rPr>
        <w:t xml:space="preserve"> (inne)</w:t>
      </w:r>
      <w:r>
        <w:rPr>
          <w:rFonts w:ascii="Times New Roman" w:hAnsi="Times New Roman" w:cs="Times New Roman"/>
          <w:sz w:val="24"/>
          <w:szCs w:val="24"/>
        </w:rPr>
        <w:t xml:space="preserve"> są to najczęściej wydawnictwa niszowe, o określonym profilu wydawniczym wymagającym doskonałego warszta</w:t>
      </w:r>
      <w:r w:rsidR="008B4177">
        <w:rPr>
          <w:rFonts w:ascii="Times New Roman" w:hAnsi="Times New Roman" w:cs="Times New Roman"/>
          <w:sz w:val="24"/>
          <w:szCs w:val="24"/>
        </w:rPr>
        <w:t>t</w:t>
      </w:r>
      <w:r>
        <w:rPr>
          <w:rFonts w:ascii="Times New Roman" w:hAnsi="Times New Roman" w:cs="Times New Roman"/>
          <w:sz w:val="24"/>
          <w:szCs w:val="24"/>
        </w:rPr>
        <w:t>u merytorycznego</w:t>
      </w:r>
      <w:r w:rsidR="008B4177">
        <w:rPr>
          <w:rFonts w:ascii="Times New Roman" w:hAnsi="Times New Roman" w:cs="Times New Roman"/>
          <w:sz w:val="24"/>
          <w:szCs w:val="24"/>
        </w:rPr>
        <w:t xml:space="preserve"> oraz kierowane do niewielkich grup czytelniczych. </w:t>
      </w:r>
    </w:p>
    <w:p w:rsidR="00627CD9" w:rsidRDefault="00627CD9" w:rsidP="0074072E">
      <w:pPr>
        <w:pStyle w:val="Akapitzlist"/>
        <w:spacing w:line="360" w:lineRule="auto"/>
        <w:ind w:left="0" w:firstLine="360"/>
        <w:rPr>
          <w:rFonts w:ascii="Times New Roman" w:hAnsi="Times New Roman" w:cs="Times New Roman"/>
          <w:sz w:val="24"/>
          <w:szCs w:val="24"/>
        </w:rPr>
      </w:pPr>
    </w:p>
    <w:p w:rsidR="00627CD9" w:rsidRDefault="00627CD9" w:rsidP="0074072E">
      <w:pPr>
        <w:pStyle w:val="Akapitzlist"/>
        <w:spacing w:line="360" w:lineRule="auto"/>
        <w:ind w:left="0" w:firstLine="360"/>
        <w:rPr>
          <w:rFonts w:ascii="Times New Roman" w:hAnsi="Times New Roman" w:cs="Times New Roman"/>
          <w:sz w:val="24"/>
          <w:szCs w:val="24"/>
        </w:rPr>
      </w:pPr>
    </w:p>
    <w:p w:rsidR="0074072E" w:rsidRPr="00C02657" w:rsidRDefault="0078462F" w:rsidP="003A3F63">
      <w:pPr>
        <w:pStyle w:val="Akapitzlist"/>
        <w:spacing w:line="360" w:lineRule="auto"/>
        <w:ind w:left="0"/>
        <w:rPr>
          <w:rFonts w:ascii="Times New Roman" w:eastAsia="Times New Roman" w:hAnsi="Times New Roman" w:cs="Times New Roman"/>
          <w:b/>
          <w:bCs/>
          <w:sz w:val="24"/>
          <w:szCs w:val="24"/>
          <w:lang w:eastAsia="pl-PL"/>
        </w:rPr>
      </w:pPr>
      <w:r>
        <w:rPr>
          <w:rFonts w:ascii="Times New Roman" w:hAnsi="Times New Roman" w:cs="Times New Roman"/>
          <w:sz w:val="24"/>
          <w:szCs w:val="24"/>
        </w:rPr>
        <w:t xml:space="preserve">Inna mapa grup strategicznych, która jest w obszarze </w:t>
      </w:r>
      <w:r w:rsidR="008A6B02">
        <w:rPr>
          <w:rFonts w:ascii="Times New Roman" w:hAnsi="Times New Roman" w:cs="Times New Roman"/>
          <w:sz w:val="24"/>
          <w:szCs w:val="24"/>
        </w:rPr>
        <w:t>wartość sprzedaży</w:t>
      </w:r>
      <w:r>
        <w:rPr>
          <w:rFonts w:ascii="Times New Roman" w:hAnsi="Times New Roman" w:cs="Times New Roman"/>
          <w:sz w:val="24"/>
          <w:szCs w:val="24"/>
        </w:rPr>
        <w:t xml:space="preserve"> </w:t>
      </w:r>
      <w:r w:rsidR="005B63AC">
        <w:rPr>
          <w:rFonts w:ascii="Times New Roman" w:hAnsi="Times New Roman" w:cs="Times New Roman"/>
          <w:sz w:val="24"/>
          <w:szCs w:val="24"/>
        </w:rPr>
        <w:t>– średni nakład i</w:t>
      </w:r>
      <w:r>
        <w:rPr>
          <w:rFonts w:ascii="Times New Roman" w:hAnsi="Times New Roman" w:cs="Times New Roman"/>
          <w:sz w:val="24"/>
          <w:szCs w:val="24"/>
        </w:rPr>
        <w:t xml:space="preserve"> </w:t>
      </w:r>
      <w:r w:rsidRPr="00C02657">
        <w:rPr>
          <w:rFonts w:ascii="Times New Roman" w:hAnsi="Times New Roman" w:cs="Times New Roman"/>
          <w:sz w:val="24"/>
          <w:szCs w:val="24"/>
        </w:rPr>
        <w:t xml:space="preserve">wielkość pól zależy </w:t>
      </w:r>
      <w:r w:rsidR="005B63AC" w:rsidRPr="00C02657">
        <w:rPr>
          <w:rFonts w:ascii="Times New Roman" w:hAnsi="Times New Roman" w:cs="Times New Roman"/>
          <w:sz w:val="24"/>
          <w:szCs w:val="24"/>
        </w:rPr>
        <w:t>też od nakładu</w:t>
      </w:r>
      <w:r w:rsidRPr="00C02657">
        <w:rPr>
          <w:rFonts w:ascii="Times New Roman" w:hAnsi="Times New Roman" w:cs="Times New Roman"/>
          <w:sz w:val="24"/>
          <w:szCs w:val="24"/>
        </w:rPr>
        <w:t xml:space="preserve"> wygląda następująco.</w:t>
      </w:r>
      <w:r w:rsidR="0074072E" w:rsidRPr="00C02657">
        <w:rPr>
          <w:rFonts w:ascii="Times New Roman" w:eastAsia="Times New Roman" w:hAnsi="Times New Roman" w:cs="Times New Roman"/>
          <w:b/>
          <w:bCs/>
          <w:sz w:val="24"/>
          <w:szCs w:val="24"/>
          <w:lang w:eastAsia="pl-PL"/>
        </w:rPr>
        <w:t xml:space="preserve"> </w:t>
      </w:r>
    </w:p>
    <w:p w:rsidR="0074072E" w:rsidRPr="00C02657" w:rsidRDefault="0074072E" w:rsidP="0074072E">
      <w:pPr>
        <w:pStyle w:val="Akapitzlist"/>
        <w:spacing w:line="360" w:lineRule="auto"/>
        <w:ind w:left="0" w:firstLine="360"/>
        <w:rPr>
          <w:rFonts w:ascii="Times New Roman" w:eastAsia="Times New Roman" w:hAnsi="Times New Roman" w:cs="Times New Roman"/>
          <w:b/>
          <w:bCs/>
          <w:sz w:val="24"/>
          <w:szCs w:val="24"/>
          <w:lang w:eastAsia="pl-PL"/>
        </w:rPr>
      </w:pPr>
      <w:r w:rsidRPr="00C02657">
        <w:rPr>
          <w:rFonts w:ascii="Times New Roman" w:eastAsia="Times New Roman" w:hAnsi="Times New Roman" w:cs="Times New Roman"/>
          <w:b/>
          <w:bCs/>
          <w:sz w:val="24"/>
          <w:szCs w:val="24"/>
          <w:lang w:eastAsia="pl-PL"/>
        </w:rPr>
        <w:t>Mapa grup strategicznych wydawnictw II</w:t>
      </w:r>
    </w:p>
    <w:p w:rsidR="0039079A" w:rsidRDefault="0039079A" w:rsidP="00567F66">
      <w:pPr>
        <w:pStyle w:val="Akapitzlist"/>
        <w:spacing w:line="360" w:lineRule="auto"/>
        <w:ind w:left="0" w:firstLine="360"/>
        <w:jc w:val="both"/>
        <w:rPr>
          <w:rFonts w:ascii="Times New Roman" w:hAnsi="Times New Roman" w:cs="Times New Roman"/>
          <w:sz w:val="24"/>
          <w:szCs w:val="24"/>
        </w:rPr>
      </w:pPr>
      <w:r w:rsidRPr="0039079A">
        <w:rPr>
          <w:rFonts w:ascii="Times New Roman" w:hAnsi="Times New Roman" w:cs="Times New Roman"/>
          <w:noProof/>
          <w:sz w:val="24"/>
          <w:szCs w:val="24"/>
          <w:lang w:eastAsia="pl-PL"/>
        </w:rPr>
        <w:drawing>
          <wp:inline distT="0" distB="0" distL="0" distR="0">
            <wp:extent cx="5705711" cy="3795824"/>
            <wp:effectExtent l="19050" t="0" r="28339" b="0"/>
            <wp:docPr id="4"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462F" w:rsidRDefault="0078462F" w:rsidP="0078462F">
      <w:pPr>
        <w:pStyle w:val="Akapitzlist"/>
        <w:spacing w:line="360" w:lineRule="auto"/>
        <w:ind w:left="1080"/>
        <w:rPr>
          <w:i/>
          <w:iCs/>
        </w:rPr>
      </w:pPr>
      <w:r w:rsidRPr="009A77FC">
        <w:rPr>
          <w:i/>
          <w:iCs/>
        </w:rPr>
        <w:t>Źródło: opracowanie własne</w:t>
      </w:r>
      <w:r>
        <w:rPr>
          <w:i/>
          <w:iCs/>
        </w:rPr>
        <w:t xml:space="preserve"> na podstawie danych Biblioteki Analiz</w:t>
      </w:r>
      <w:r w:rsidR="003A3F63">
        <w:rPr>
          <w:i/>
          <w:iCs/>
        </w:rPr>
        <w:t>.</w:t>
      </w:r>
    </w:p>
    <w:p w:rsidR="0078462F" w:rsidRDefault="0078462F"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Według tego układu są trzy grupy strategiczne: dwie samodzielne (podręczników szkolnych oraz książek fachowych) i jedna zawierająca pozostałe wydawnictwa skupione w </w:t>
      </w:r>
      <w:r w:rsidR="007749D7">
        <w:rPr>
          <w:rFonts w:ascii="Times New Roman" w:hAnsi="Times New Roman" w:cs="Times New Roman"/>
          <w:sz w:val="24"/>
          <w:szCs w:val="24"/>
        </w:rPr>
        <w:t>średnim nakładzie</w:t>
      </w:r>
      <w:r w:rsidR="0039079A">
        <w:rPr>
          <w:rFonts w:ascii="Times New Roman" w:hAnsi="Times New Roman" w:cs="Times New Roman"/>
          <w:sz w:val="24"/>
          <w:szCs w:val="24"/>
        </w:rPr>
        <w:t xml:space="preserve"> pomiędzy dwa</w:t>
      </w:r>
      <w:r>
        <w:rPr>
          <w:rFonts w:ascii="Times New Roman" w:hAnsi="Times New Roman" w:cs="Times New Roman"/>
          <w:sz w:val="24"/>
          <w:szCs w:val="24"/>
        </w:rPr>
        <w:t xml:space="preserve"> a cztery tysiące</w:t>
      </w:r>
      <w:r w:rsidR="008A6B02">
        <w:rPr>
          <w:rFonts w:ascii="Times New Roman" w:hAnsi="Times New Roman" w:cs="Times New Roman"/>
          <w:sz w:val="24"/>
          <w:szCs w:val="24"/>
        </w:rPr>
        <w:t xml:space="preserve"> oraz</w:t>
      </w:r>
      <w:r>
        <w:rPr>
          <w:rFonts w:ascii="Times New Roman" w:hAnsi="Times New Roman" w:cs="Times New Roman"/>
          <w:sz w:val="24"/>
          <w:szCs w:val="24"/>
        </w:rPr>
        <w:t xml:space="preserve"> sprzedaży </w:t>
      </w:r>
      <w:r w:rsidR="0039079A">
        <w:rPr>
          <w:rFonts w:ascii="Times New Roman" w:hAnsi="Times New Roman" w:cs="Times New Roman"/>
          <w:sz w:val="24"/>
          <w:szCs w:val="24"/>
        </w:rPr>
        <w:t xml:space="preserve">pomiędzy 100 </w:t>
      </w:r>
      <w:r w:rsidR="00567F66">
        <w:rPr>
          <w:rFonts w:ascii="Times New Roman" w:hAnsi="Times New Roman" w:cs="Times New Roman"/>
          <w:sz w:val="24"/>
          <w:szCs w:val="24"/>
        </w:rPr>
        <w:t xml:space="preserve">a 400 mln </w:t>
      </w:r>
      <w:r w:rsidR="007749D7">
        <w:rPr>
          <w:rFonts w:ascii="Times New Roman" w:hAnsi="Times New Roman" w:cs="Times New Roman"/>
          <w:sz w:val="24"/>
          <w:szCs w:val="24"/>
        </w:rPr>
        <w:t xml:space="preserve">zł. Promień </w:t>
      </w:r>
      <w:r w:rsidR="008A6B02">
        <w:rPr>
          <w:rFonts w:ascii="Times New Roman" w:hAnsi="Times New Roman" w:cs="Times New Roman"/>
          <w:sz w:val="24"/>
          <w:szCs w:val="24"/>
        </w:rPr>
        <w:t xml:space="preserve">poszczególnych grup </w:t>
      </w:r>
      <w:r w:rsidR="007749D7">
        <w:rPr>
          <w:rFonts w:ascii="Times New Roman" w:hAnsi="Times New Roman" w:cs="Times New Roman"/>
          <w:sz w:val="24"/>
          <w:szCs w:val="24"/>
        </w:rPr>
        <w:t>jest identyczny jak w poprzednim wykresie</w:t>
      </w:r>
      <w:r w:rsidR="00647FB9">
        <w:rPr>
          <w:rFonts w:ascii="Times New Roman" w:hAnsi="Times New Roman" w:cs="Times New Roman"/>
          <w:sz w:val="24"/>
          <w:szCs w:val="24"/>
        </w:rPr>
        <w:t>,</w:t>
      </w:r>
      <w:r w:rsidR="007749D7">
        <w:rPr>
          <w:rFonts w:ascii="Times New Roman" w:hAnsi="Times New Roman" w:cs="Times New Roman"/>
          <w:sz w:val="24"/>
          <w:szCs w:val="24"/>
        </w:rPr>
        <w:t xml:space="preserve"> ponieważ zależy </w:t>
      </w:r>
      <w:r w:rsidR="008A6B02">
        <w:rPr>
          <w:rFonts w:ascii="Times New Roman" w:hAnsi="Times New Roman" w:cs="Times New Roman"/>
          <w:sz w:val="24"/>
          <w:szCs w:val="24"/>
        </w:rPr>
        <w:t xml:space="preserve">także </w:t>
      </w:r>
      <w:r w:rsidR="007749D7">
        <w:rPr>
          <w:rFonts w:ascii="Times New Roman" w:hAnsi="Times New Roman" w:cs="Times New Roman"/>
          <w:sz w:val="24"/>
          <w:szCs w:val="24"/>
        </w:rPr>
        <w:t xml:space="preserve">od </w:t>
      </w:r>
      <w:r w:rsidR="008A6B02">
        <w:rPr>
          <w:rFonts w:ascii="Times New Roman" w:hAnsi="Times New Roman" w:cs="Times New Roman"/>
          <w:sz w:val="24"/>
          <w:szCs w:val="24"/>
        </w:rPr>
        <w:t xml:space="preserve">całkowitego </w:t>
      </w:r>
      <w:r w:rsidR="007749D7">
        <w:rPr>
          <w:rFonts w:ascii="Times New Roman" w:hAnsi="Times New Roman" w:cs="Times New Roman"/>
          <w:sz w:val="24"/>
          <w:szCs w:val="24"/>
        </w:rPr>
        <w:t>nakładu.</w:t>
      </w:r>
    </w:p>
    <w:p w:rsidR="00627CD9" w:rsidRDefault="00627CD9" w:rsidP="00567F66">
      <w:pPr>
        <w:pStyle w:val="Akapitzlist"/>
        <w:spacing w:line="360" w:lineRule="auto"/>
        <w:ind w:left="0" w:firstLine="360"/>
        <w:jc w:val="both"/>
        <w:rPr>
          <w:rFonts w:ascii="Times New Roman" w:hAnsi="Times New Roman" w:cs="Times New Roman"/>
          <w:sz w:val="24"/>
          <w:szCs w:val="24"/>
        </w:rPr>
      </w:pPr>
    </w:p>
    <w:p w:rsidR="00627CD9" w:rsidRDefault="00627CD9" w:rsidP="00567F66">
      <w:pPr>
        <w:pStyle w:val="Akapitzlist"/>
        <w:spacing w:line="360" w:lineRule="auto"/>
        <w:ind w:left="0" w:firstLine="360"/>
        <w:jc w:val="both"/>
        <w:rPr>
          <w:rFonts w:ascii="Times New Roman" w:hAnsi="Times New Roman" w:cs="Times New Roman"/>
          <w:sz w:val="24"/>
          <w:szCs w:val="24"/>
        </w:rPr>
      </w:pPr>
    </w:p>
    <w:p w:rsidR="00DD4395" w:rsidRPr="00F84B45" w:rsidRDefault="00002638" w:rsidP="00332277">
      <w:pPr>
        <w:pStyle w:val="Akapitzlist"/>
        <w:numPr>
          <w:ilvl w:val="2"/>
          <w:numId w:val="2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Zatrudnienie </w:t>
      </w:r>
      <w:r w:rsidR="00E07AF7">
        <w:rPr>
          <w:rFonts w:ascii="Times New Roman" w:hAnsi="Times New Roman" w:cs="Times New Roman"/>
          <w:sz w:val="24"/>
          <w:szCs w:val="24"/>
        </w:rPr>
        <w:t>w wydawnictwach</w:t>
      </w:r>
    </w:p>
    <w:bookmarkEnd w:id="4"/>
    <w:bookmarkEnd w:id="5"/>
    <w:bookmarkEnd w:id="6"/>
    <w:p w:rsidR="00952425" w:rsidRDefault="00E07AF7"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Dane dotyczące zatrudnienia w wydawnictwach są obarczone pewnym błędem wynikającym z definicji zatrudnienia</w:t>
      </w:r>
      <w:r w:rsidR="00647FB9">
        <w:rPr>
          <w:rFonts w:ascii="Times New Roman" w:hAnsi="Times New Roman" w:cs="Times New Roman"/>
          <w:sz w:val="24"/>
          <w:szCs w:val="24"/>
        </w:rPr>
        <w:t>,</w:t>
      </w:r>
      <w:r>
        <w:rPr>
          <w:rFonts w:ascii="Times New Roman" w:hAnsi="Times New Roman" w:cs="Times New Roman"/>
          <w:sz w:val="24"/>
          <w:szCs w:val="24"/>
        </w:rPr>
        <w:t xml:space="preserve"> ponieważ zatrudnienie na etacie, łatwiej policzalne, nie jest zatrudnieniem faktycznym. W innych branżach zatrudnianie na umowy zlecenia lub umowy o dzieło występuje raczej jako incydentalna forma współpracy, nawet jeżeli koszty tych umów nie ulegają dużym wahaniom, to zmieniają się </w:t>
      </w:r>
      <w:r w:rsidR="00914BAB">
        <w:rPr>
          <w:rFonts w:ascii="Times New Roman" w:hAnsi="Times New Roman" w:cs="Times New Roman"/>
          <w:sz w:val="24"/>
          <w:szCs w:val="24"/>
        </w:rPr>
        <w:t xml:space="preserve">zleceniobiorcy. W wydawnictwach jest stała grupa współpracowników, a mogą zmieniać się koszty wynikające z aktualnego zapotrzebowania na ich pracę. Redaktorzy (coraz częściej), graficy (prawie od zawsze), ale i operatorzy DTP (często) są grupą pracującą na zleceniach i </w:t>
      </w:r>
      <w:r w:rsidR="00695B6E">
        <w:rPr>
          <w:rFonts w:ascii="Times New Roman" w:hAnsi="Times New Roman" w:cs="Times New Roman"/>
          <w:sz w:val="24"/>
          <w:szCs w:val="24"/>
        </w:rPr>
        <w:t xml:space="preserve">na </w:t>
      </w:r>
      <w:r w:rsidR="00914BAB">
        <w:rPr>
          <w:rFonts w:ascii="Times New Roman" w:hAnsi="Times New Roman" w:cs="Times New Roman"/>
          <w:sz w:val="24"/>
          <w:szCs w:val="24"/>
        </w:rPr>
        <w:t>umowach o dzieło.</w:t>
      </w:r>
    </w:p>
    <w:p w:rsidR="00914BAB" w:rsidRDefault="00914BAB"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Grupa ta w</w:t>
      </w:r>
      <w:r w:rsidR="00E9775C">
        <w:rPr>
          <w:rFonts w:ascii="Times New Roman" w:hAnsi="Times New Roman" w:cs="Times New Roman"/>
          <w:sz w:val="24"/>
          <w:szCs w:val="24"/>
        </w:rPr>
        <w:t>edłu</w:t>
      </w:r>
      <w:r>
        <w:rPr>
          <w:rFonts w:ascii="Times New Roman" w:hAnsi="Times New Roman" w:cs="Times New Roman"/>
          <w:sz w:val="24"/>
          <w:szCs w:val="24"/>
        </w:rPr>
        <w:t>g danych z przysłanych ankiet – przy wszystkich zastrzeżeniach co do repr</w:t>
      </w:r>
      <w:r w:rsidR="00567F66">
        <w:rPr>
          <w:rFonts w:ascii="Times New Roman" w:hAnsi="Times New Roman" w:cs="Times New Roman"/>
          <w:sz w:val="24"/>
          <w:szCs w:val="24"/>
        </w:rPr>
        <w:t>ezentatywności – stanowi ok. 25 proc.</w:t>
      </w:r>
      <w:r>
        <w:rPr>
          <w:rFonts w:ascii="Times New Roman" w:hAnsi="Times New Roman" w:cs="Times New Roman"/>
          <w:sz w:val="24"/>
          <w:szCs w:val="24"/>
        </w:rPr>
        <w:t xml:space="preserve"> etatowych </w:t>
      </w:r>
      <w:r w:rsidR="00C32BD4">
        <w:rPr>
          <w:rFonts w:ascii="Times New Roman" w:hAnsi="Times New Roman" w:cs="Times New Roman"/>
          <w:sz w:val="24"/>
          <w:szCs w:val="24"/>
        </w:rPr>
        <w:t xml:space="preserve"> </w:t>
      </w:r>
      <w:r>
        <w:rPr>
          <w:rFonts w:ascii="Times New Roman" w:hAnsi="Times New Roman" w:cs="Times New Roman"/>
          <w:sz w:val="24"/>
          <w:szCs w:val="24"/>
        </w:rPr>
        <w:t>pracowników wydawnictw. Ponadto jest spora grupa współpracujących autorów, dla niektórych typów publikacji prawie stałych.</w:t>
      </w:r>
    </w:p>
    <w:p w:rsidR="00FD2608" w:rsidRDefault="00FD2608" w:rsidP="00567F66">
      <w:pPr>
        <w:pStyle w:val="Akapitzlist"/>
        <w:spacing w:line="360" w:lineRule="auto"/>
        <w:ind w:left="0" w:firstLine="360"/>
        <w:jc w:val="both"/>
        <w:rPr>
          <w:rFonts w:ascii="Times New Roman" w:hAnsi="Times New Roman" w:cs="Times New Roman"/>
          <w:sz w:val="24"/>
          <w:szCs w:val="24"/>
        </w:rPr>
      </w:pPr>
    </w:p>
    <w:p w:rsidR="00914BAB" w:rsidRDefault="00FB7FF2" w:rsidP="00914BAB">
      <w:pPr>
        <w:spacing w:after="0" w:line="240" w:lineRule="auto"/>
        <w:ind w:firstLine="360"/>
        <w:rPr>
          <w:rFonts w:ascii="Arial" w:eastAsia="Times New Roman" w:hAnsi="Arial" w:cs="Arial"/>
          <w:b/>
          <w:bCs/>
          <w:sz w:val="20"/>
          <w:szCs w:val="20"/>
          <w:lang w:eastAsia="pl-PL"/>
        </w:rPr>
      </w:pPr>
      <w:r>
        <w:rPr>
          <w:rFonts w:ascii="Arial" w:eastAsia="Times New Roman" w:hAnsi="Arial" w:cs="Arial"/>
          <w:b/>
          <w:bCs/>
          <w:sz w:val="20"/>
          <w:szCs w:val="20"/>
          <w:lang w:eastAsia="pl-PL"/>
        </w:rPr>
        <w:t>E</w:t>
      </w:r>
      <w:r w:rsidR="00914BAB">
        <w:rPr>
          <w:rFonts w:ascii="Arial" w:eastAsia="Times New Roman" w:hAnsi="Arial" w:cs="Arial"/>
          <w:b/>
          <w:bCs/>
          <w:sz w:val="20"/>
          <w:szCs w:val="20"/>
          <w:lang w:eastAsia="pl-PL"/>
        </w:rPr>
        <w:t xml:space="preserve">tatowe </w:t>
      </w:r>
      <w:r w:rsidR="00914BAB" w:rsidRPr="00914BAB">
        <w:rPr>
          <w:rFonts w:ascii="Arial" w:eastAsia="Times New Roman" w:hAnsi="Arial" w:cs="Arial"/>
          <w:b/>
          <w:bCs/>
          <w:sz w:val="20"/>
          <w:szCs w:val="20"/>
          <w:lang w:eastAsia="pl-PL"/>
        </w:rPr>
        <w:t>zatrudnienie w wydawnictwach</w:t>
      </w:r>
    </w:p>
    <w:p w:rsidR="00914BAB" w:rsidRDefault="00914BAB" w:rsidP="00914BAB">
      <w:pPr>
        <w:spacing w:after="0" w:line="240" w:lineRule="auto"/>
        <w:ind w:firstLine="360"/>
        <w:rPr>
          <w:rFonts w:ascii="Arial" w:eastAsia="Times New Roman" w:hAnsi="Arial" w:cs="Arial"/>
          <w:b/>
          <w:bCs/>
          <w:sz w:val="20"/>
          <w:szCs w:val="20"/>
          <w:lang w:eastAsia="pl-PL"/>
        </w:rPr>
      </w:pPr>
    </w:p>
    <w:p w:rsidR="00914BAB" w:rsidRDefault="00914BAB" w:rsidP="00914BAB">
      <w:pPr>
        <w:spacing w:after="0" w:line="240" w:lineRule="auto"/>
        <w:ind w:firstLine="360"/>
        <w:rPr>
          <w:rFonts w:ascii="Arial" w:eastAsia="Times New Roman" w:hAnsi="Arial" w:cs="Arial"/>
          <w:b/>
          <w:bCs/>
          <w:sz w:val="20"/>
          <w:szCs w:val="20"/>
          <w:lang w:eastAsia="pl-PL"/>
        </w:rPr>
      </w:pPr>
      <w:r>
        <w:rPr>
          <w:noProof/>
          <w:lang w:eastAsia="pl-PL"/>
        </w:rPr>
        <w:drawing>
          <wp:inline distT="0" distB="0" distL="0" distR="0">
            <wp:extent cx="5016175" cy="2690037"/>
            <wp:effectExtent l="19050" t="0" r="1302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0C96" w:rsidRPr="00914BAB" w:rsidRDefault="001A0C96" w:rsidP="00914BAB">
      <w:pPr>
        <w:spacing w:after="0" w:line="240" w:lineRule="auto"/>
        <w:ind w:firstLine="360"/>
        <w:rPr>
          <w:rFonts w:ascii="Arial" w:eastAsia="Times New Roman" w:hAnsi="Arial" w:cs="Arial"/>
          <w:b/>
          <w:bCs/>
          <w:sz w:val="20"/>
          <w:szCs w:val="20"/>
          <w:lang w:eastAsia="pl-PL"/>
        </w:rPr>
      </w:pPr>
    </w:p>
    <w:p w:rsidR="00914BAB" w:rsidRPr="00695B6E" w:rsidRDefault="00914BAB" w:rsidP="00695B6E">
      <w:pPr>
        <w:spacing w:line="360" w:lineRule="auto"/>
        <w:ind w:firstLine="360"/>
        <w:rPr>
          <w:i/>
          <w:iCs/>
        </w:rPr>
      </w:pPr>
      <w:r w:rsidRPr="00695B6E">
        <w:rPr>
          <w:i/>
          <w:iCs/>
        </w:rPr>
        <w:t>Źródło: opracowanie własne na podstawie danych Biblioteki Analiz</w:t>
      </w:r>
      <w:r w:rsidR="003A3F63">
        <w:rPr>
          <w:i/>
          <w:iCs/>
        </w:rPr>
        <w:t>.</w:t>
      </w:r>
    </w:p>
    <w:p w:rsidR="00FD2608" w:rsidRDefault="00FD2608" w:rsidP="00567F66">
      <w:pPr>
        <w:pStyle w:val="Akapitzlist"/>
        <w:spacing w:line="360" w:lineRule="auto"/>
        <w:ind w:left="0" w:firstLine="360"/>
        <w:jc w:val="both"/>
        <w:rPr>
          <w:rFonts w:ascii="Times New Roman" w:hAnsi="Times New Roman" w:cs="Times New Roman"/>
          <w:sz w:val="24"/>
          <w:szCs w:val="24"/>
        </w:rPr>
      </w:pPr>
    </w:p>
    <w:p w:rsidR="00FD2608" w:rsidRDefault="00FD2608" w:rsidP="00567F66">
      <w:pPr>
        <w:pStyle w:val="Akapitzlist"/>
        <w:spacing w:line="360" w:lineRule="auto"/>
        <w:ind w:left="0" w:firstLine="360"/>
        <w:jc w:val="both"/>
        <w:rPr>
          <w:rFonts w:ascii="Times New Roman" w:hAnsi="Times New Roman" w:cs="Times New Roman"/>
          <w:sz w:val="24"/>
          <w:szCs w:val="24"/>
        </w:rPr>
      </w:pPr>
    </w:p>
    <w:p w:rsidR="003A3F63" w:rsidRDefault="003A3F63" w:rsidP="00567F66">
      <w:pPr>
        <w:pStyle w:val="Akapitzlist"/>
        <w:spacing w:line="360" w:lineRule="auto"/>
        <w:ind w:left="0" w:firstLine="360"/>
        <w:jc w:val="both"/>
        <w:rPr>
          <w:rFonts w:ascii="Times New Roman" w:hAnsi="Times New Roman" w:cs="Times New Roman"/>
          <w:sz w:val="24"/>
          <w:szCs w:val="24"/>
        </w:rPr>
      </w:pPr>
    </w:p>
    <w:p w:rsidR="00D61354" w:rsidRPr="001A0C96" w:rsidRDefault="00914BAB"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W ciągu ostatnich dziesi</w:t>
      </w:r>
      <w:r w:rsidR="00FD2608">
        <w:rPr>
          <w:rFonts w:ascii="Times New Roman" w:hAnsi="Times New Roman" w:cs="Times New Roman"/>
          <w:sz w:val="24"/>
          <w:szCs w:val="24"/>
        </w:rPr>
        <w:t>ęciu latach zatrudnienie spada (</w:t>
      </w:r>
      <w:r>
        <w:rPr>
          <w:rFonts w:ascii="Times New Roman" w:hAnsi="Times New Roman" w:cs="Times New Roman"/>
          <w:sz w:val="24"/>
          <w:szCs w:val="24"/>
        </w:rPr>
        <w:t>krzywa trendu</w:t>
      </w:r>
      <w:r w:rsidR="00FD2608">
        <w:rPr>
          <w:rFonts w:ascii="Times New Roman" w:hAnsi="Times New Roman" w:cs="Times New Roman"/>
          <w:sz w:val="24"/>
          <w:szCs w:val="24"/>
        </w:rPr>
        <w:t>)</w:t>
      </w:r>
      <w:r>
        <w:rPr>
          <w:rFonts w:ascii="Times New Roman" w:hAnsi="Times New Roman" w:cs="Times New Roman"/>
          <w:sz w:val="24"/>
          <w:szCs w:val="24"/>
        </w:rPr>
        <w:t>, ale nie można powiedzieć, że systematycznie</w:t>
      </w:r>
      <w:r w:rsidR="00FD2608">
        <w:rPr>
          <w:rFonts w:ascii="Times New Roman" w:hAnsi="Times New Roman" w:cs="Times New Roman"/>
          <w:sz w:val="24"/>
          <w:szCs w:val="24"/>
        </w:rPr>
        <w:t xml:space="preserve">, </w:t>
      </w:r>
      <w:r>
        <w:rPr>
          <w:rFonts w:ascii="Times New Roman" w:hAnsi="Times New Roman" w:cs="Times New Roman"/>
          <w:sz w:val="24"/>
          <w:szCs w:val="24"/>
        </w:rPr>
        <w:t xml:space="preserve">ponieważ były też okresy wzrostu. </w:t>
      </w:r>
      <w:r w:rsidR="00D61354">
        <w:rPr>
          <w:rFonts w:ascii="Times New Roman" w:hAnsi="Times New Roman" w:cs="Times New Roman"/>
          <w:sz w:val="24"/>
          <w:szCs w:val="24"/>
        </w:rPr>
        <w:t>D</w:t>
      </w:r>
      <w:r>
        <w:rPr>
          <w:rFonts w:ascii="Times New Roman" w:hAnsi="Times New Roman" w:cs="Times New Roman"/>
          <w:sz w:val="24"/>
          <w:szCs w:val="24"/>
        </w:rPr>
        <w:t>ramatycznie wygląda okres ostatnich trzech lat od 2010 roku</w:t>
      </w:r>
      <w:r w:rsidR="00D61354">
        <w:rPr>
          <w:rFonts w:ascii="Times New Roman" w:hAnsi="Times New Roman" w:cs="Times New Roman"/>
          <w:sz w:val="24"/>
          <w:szCs w:val="24"/>
        </w:rPr>
        <w:t>, ale jest pewne „ale”</w:t>
      </w:r>
      <w:r>
        <w:rPr>
          <w:rFonts w:ascii="Times New Roman" w:hAnsi="Times New Roman" w:cs="Times New Roman"/>
          <w:sz w:val="24"/>
          <w:szCs w:val="24"/>
        </w:rPr>
        <w:t xml:space="preserve">. </w:t>
      </w:r>
      <w:r w:rsidR="00D61354">
        <w:rPr>
          <w:rFonts w:ascii="Times New Roman" w:hAnsi="Times New Roman" w:cs="Times New Roman"/>
          <w:sz w:val="24"/>
          <w:szCs w:val="24"/>
        </w:rPr>
        <w:t>Z</w:t>
      </w:r>
      <w:r>
        <w:rPr>
          <w:rFonts w:ascii="Times New Roman" w:hAnsi="Times New Roman" w:cs="Times New Roman"/>
          <w:sz w:val="24"/>
          <w:szCs w:val="24"/>
        </w:rPr>
        <w:t xml:space="preserve"> analiz</w:t>
      </w:r>
      <w:r w:rsidR="00D61354">
        <w:rPr>
          <w:rFonts w:ascii="Times New Roman" w:hAnsi="Times New Roman" w:cs="Times New Roman"/>
          <w:sz w:val="24"/>
          <w:szCs w:val="24"/>
        </w:rPr>
        <w:t>y</w:t>
      </w:r>
      <w:r>
        <w:rPr>
          <w:rFonts w:ascii="Times New Roman" w:hAnsi="Times New Roman" w:cs="Times New Roman"/>
          <w:sz w:val="24"/>
          <w:szCs w:val="24"/>
        </w:rPr>
        <w:t xml:space="preserve"> wspomnianych ankiet</w:t>
      </w:r>
      <w:r w:rsidR="00D61354">
        <w:rPr>
          <w:rFonts w:ascii="Times New Roman" w:hAnsi="Times New Roman" w:cs="Times New Roman"/>
          <w:sz w:val="24"/>
          <w:szCs w:val="24"/>
        </w:rPr>
        <w:t xml:space="preserve"> wynika, że zatrudnienie na umowy zlecenia lub umowy o dzieło</w:t>
      </w:r>
      <w:r w:rsidR="00567F66">
        <w:rPr>
          <w:rFonts w:ascii="Times New Roman" w:hAnsi="Times New Roman" w:cs="Times New Roman"/>
          <w:sz w:val="24"/>
          <w:szCs w:val="24"/>
        </w:rPr>
        <w:t xml:space="preserve"> wzrosło w 2012 roku o ponad 5 proc.</w:t>
      </w:r>
      <w:r w:rsidR="00D61354">
        <w:rPr>
          <w:rFonts w:ascii="Times New Roman" w:hAnsi="Times New Roman" w:cs="Times New Roman"/>
          <w:sz w:val="24"/>
          <w:szCs w:val="24"/>
        </w:rPr>
        <w:t>, jednocześnie spadek zatrudnienia n</w:t>
      </w:r>
      <w:r w:rsidR="00567F66">
        <w:rPr>
          <w:rFonts w:ascii="Times New Roman" w:hAnsi="Times New Roman" w:cs="Times New Roman"/>
          <w:sz w:val="24"/>
          <w:szCs w:val="24"/>
        </w:rPr>
        <w:t>a etatach wyniósł również ok. 5 proc.</w:t>
      </w:r>
      <w:r w:rsidR="00D61354">
        <w:rPr>
          <w:rFonts w:ascii="Times New Roman" w:hAnsi="Times New Roman" w:cs="Times New Roman"/>
          <w:sz w:val="24"/>
          <w:szCs w:val="24"/>
        </w:rPr>
        <w:t>, czyli de facto zatrudnienie w wydawnictwach mogło pozostać na niezmienionym poziomie.</w:t>
      </w:r>
      <w:r w:rsidR="00695B6E">
        <w:rPr>
          <w:rFonts w:ascii="Times New Roman" w:hAnsi="Times New Roman" w:cs="Times New Roman"/>
          <w:sz w:val="24"/>
          <w:szCs w:val="24"/>
        </w:rPr>
        <w:t xml:space="preserve"> </w:t>
      </w:r>
      <w:r w:rsidR="00D61354" w:rsidRPr="001A0C96">
        <w:rPr>
          <w:rFonts w:ascii="Times New Roman" w:hAnsi="Times New Roman" w:cs="Times New Roman"/>
          <w:sz w:val="24"/>
          <w:szCs w:val="24"/>
        </w:rPr>
        <w:t>Niemniej tendencja wieloletnia</w:t>
      </w:r>
      <w:r w:rsidR="001A0C96" w:rsidRPr="001A0C96">
        <w:rPr>
          <w:rFonts w:ascii="Times New Roman" w:hAnsi="Times New Roman" w:cs="Times New Roman"/>
          <w:sz w:val="24"/>
          <w:szCs w:val="24"/>
        </w:rPr>
        <w:t xml:space="preserve"> wskazuje, że zatrudnienie spada i chyba będzie spadać.</w:t>
      </w:r>
    </w:p>
    <w:p w:rsidR="00032357" w:rsidRDefault="00131820" w:rsidP="00695B6E">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Analizując z</w:t>
      </w:r>
      <w:r w:rsidR="009A34F0">
        <w:rPr>
          <w:rFonts w:ascii="Times New Roman" w:hAnsi="Times New Roman" w:cs="Times New Roman"/>
          <w:sz w:val="24"/>
          <w:szCs w:val="24"/>
        </w:rPr>
        <w:t xml:space="preserve">wiązek etatowego zatrudnienia w wydawnictwach i </w:t>
      </w:r>
      <w:r>
        <w:rPr>
          <w:rFonts w:ascii="Times New Roman" w:hAnsi="Times New Roman" w:cs="Times New Roman"/>
          <w:sz w:val="24"/>
          <w:szCs w:val="24"/>
        </w:rPr>
        <w:t>produkcji wydawnictw widać występujące korelacje. Wzrost zatrudnienia i produkcji w latach 2003-2005, spadek jednoczesny w 2006 roku i wzrost jednoczesny  w 2007 roku, zachwianie korelacji w</w:t>
      </w:r>
      <w:r w:rsidR="00032357">
        <w:rPr>
          <w:rFonts w:ascii="Times New Roman" w:hAnsi="Times New Roman" w:cs="Times New Roman"/>
          <w:sz w:val="24"/>
          <w:szCs w:val="24"/>
        </w:rPr>
        <w:t xml:space="preserve"> latach</w:t>
      </w:r>
      <w:r>
        <w:rPr>
          <w:rFonts w:ascii="Times New Roman" w:hAnsi="Times New Roman" w:cs="Times New Roman"/>
          <w:sz w:val="24"/>
          <w:szCs w:val="24"/>
        </w:rPr>
        <w:t xml:space="preserve"> 2008</w:t>
      </w:r>
      <w:r w:rsidR="00032357">
        <w:rPr>
          <w:rFonts w:ascii="Times New Roman" w:hAnsi="Times New Roman" w:cs="Times New Roman"/>
          <w:sz w:val="24"/>
          <w:szCs w:val="24"/>
        </w:rPr>
        <w:t xml:space="preserve">-2009 i znów zbieżność w latach 2010-2012. Takie zbieżności są prawidłowym związkiem zatrudnienia z produkcją, ale głęboki spadek od roku 2010 jest niepokojący. </w:t>
      </w:r>
    </w:p>
    <w:p w:rsidR="00FA3E90" w:rsidRPr="00695B6E" w:rsidRDefault="00FA3E90" w:rsidP="00695B6E">
      <w:pPr>
        <w:pStyle w:val="Akapitzlist"/>
        <w:spacing w:line="360" w:lineRule="auto"/>
        <w:ind w:left="0" w:firstLine="360"/>
        <w:jc w:val="both"/>
        <w:rPr>
          <w:rFonts w:ascii="Times New Roman" w:hAnsi="Times New Roman" w:cs="Times New Roman"/>
          <w:sz w:val="24"/>
          <w:szCs w:val="24"/>
        </w:rPr>
      </w:pPr>
    </w:p>
    <w:p w:rsidR="003C11CC" w:rsidRPr="00FD2608" w:rsidRDefault="009A34F0" w:rsidP="00032357">
      <w:pPr>
        <w:spacing w:after="0" w:line="240" w:lineRule="auto"/>
        <w:ind w:firstLine="360"/>
        <w:rPr>
          <w:rFonts w:ascii="Times New Roman" w:eastAsia="Times New Roman" w:hAnsi="Times New Roman" w:cs="Times New Roman"/>
          <w:b/>
          <w:bCs/>
          <w:sz w:val="24"/>
          <w:szCs w:val="24"/>
          <w:lang w:eastAsia="pl-PL"/>
        </w:rPr>
      </w:pPr>
      <w:r w:rsidRPr="00FD2608">
        <w:rPr>
          <w:rFonts w:ascii="Times New Roman" w:eastAsia="Times New Roman" w:hAnsi="Times New Roman" w:cs="Times New Roman"/>
          <w:b/>
          <w:bCs/>
          <w:sz w:val="24"/>
          <w:szCs w:val="24"/>
          <w:lang w:eastAsia="pl-PL"/>
        </w:rPr>
        <w:t>Korelacja zatrudnienia i produkcji</w:t>
      </w:r>
    </w:p>
    <w:p w:rsidR="00032357" w:rsidRPr="00032357" w:rsidRDefault="00032357" w:rsidP="00032357">
      <w:pPr>
        <w:spacing w:after="0" w:line="240" w:lineRule="auto"/>
        <w:rPr>
          <w:rFonts w:ascii="Arial" w:eastAsia="Times New Roman" w:hAnsi="Arial" w:cs="Arial"/>
          <w:b/>
          <w:bCs/>
          <w:sz w:val="20"/>
          <w:szCs w:val="20"/>
          <w:lang w:eastAsia="pl-PL"/>
        </w:rPr>
      </w:pPr>
    </w:p>
    <w:p w:rsidR="009A34F0" w:rsidRDefault="009A34F0" w:rsidP="00952425">
      <w:pPr>
        <w:pStyle w:val="Akapitzlist"/>
        <w:spacing w:line="360" w:lineRule="auto"/>
        <w:ind w:left="0" w:firstLine="360"/>
        <w:rPr>
          <w:rFonts w:ascii="Times New Roman" w:hAnsi="Times New Roman" w:cs="Times New Roman"/>
          <w:sz w:val="24"/>
          <w:szCs w:val="24"/>
        </w:rPr>
      </w:pPr>
      <w:r>
        <w:rPr>
          <w:noProof/>
          <w:lang w:eastAsia="pl-PL"/>
        </w:rPr>
        <w:drawing>
          <wp:inline distT="0" distB="0" distL="0" distR="0">
            <wp:extent cx="4969362" cy="2299010"/>
            <wp:effectExtent l="19050" t="0" r="21738" b="604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072E" w:rsidRDefault="009A34F0" w:rsidP="00695B6E">
      <w:pPr>
        <w:pStyle w:val="Akapitzlist"/>
        <w:spacing w:line="360" w:lineRule="auto"/>
        <w:ind w:left="360"/>
        <w:rPr>
          <w:i/>
          <w:iCs/>
        </w:rPr>
      </w:pPr>
      <w:r w:rsidRPr="009A77FC">
        <w:rPr>
          <w:i/>
          <w:iCs/>
        </w:rPr>
        <w:t>Źródło: opracowanie własne</w:t>
      </w:r>
      <w:r>
        <w:rPr>
          <w:i/>
          <w:iCs/>
        </w:rPr>
        <w:t xml:space="preserve"> na podstawie danych Biblioteki Analiz</w:t>
      </w:r>
      <w:r w:rsidR="003A3F63">
        <w:rPr>
          <w:i/>
          <w:iCs/>
        </w:rPr>
        <w:t>.</w:t>
      </w:r>
    </w:p>
    <w:p w:rsidR="00FD2608" w:rsidRDefault="00FD2608" w:rsidP="00695B6E">
      <w:pPr>
        <w:pStyle w:val="Akapitzlist"/>
        <w:spacing w:line="360" w:lineRule="auto"/>
        <w:ind w:left="360"/>
        <w:rPr>
          <w:i/>
          <w:iCs/>
        </w:rPr>
      </w:pPr>
    </w:p>
    <w:p w:rsidR="00FD2608" w:rsidRDefault="00FD2608" w:rsidP="00695B6E">
      <w:pPr>
        <w:pStyle w:val="Akapitzlist"/>
        <w:spacing w:line="360" w:lineRule="auto"/>
        <w:ind w:left="360"/>
        <w:rPr>
          <w:i/>
          <w:iCs/>
        </w:rPr>
      </w:pPr>
    </w:p>
    <w:p w:rsidR="00FD2608" w:rsidRDefault="00FD2608" w:rsidP="00695B6E">
      <w:pPr>
        <w:pStyle w:val="Akapitzlist"/>
        <w:spacing w:line="360" w:lineRule="auto"/>
        <w:ind w:left="360"/>
        <w:rPr>
          <w:i/>
          <w:iCs/>
        </w:rPr>
      </w:pPr>
    </w:p>
    <w:p w:rsidR="00032357" w:rsidRPr="00FD2608" w:rsidRDefault="00032357" w:rsidP="00695B6E">
      <w:pPr>
        <w:pStyle w:val="Akapitzlist"/>
        <w:spacing w:line="360" w:lineRule="auto"/>
        <w:ind w:left="360"/>
        <w:rPr>
          <w:rFonts w:ascii="Times New Roman" w:hAnsi="Times New Roman" w:cs="Times New Roman"/>
          <w:sz w:val="24"/>
          <w:szCs w:val="24"/>
        </w:rPr>
      </w:pPr>
      <w:r w:rsidRPr="00FD2608">
        <w:rPr>
          <w:rFonts w:ascii="Times New Roman" w:eastAsia="Times New Roman" w:hAnsi="Times New Roman" w:cs="Times New Roman"/>
          <w:b/>
          <w:bCs/>
          <w:sz w:val="24"/>
          <w:szCs w:val="24"/>
          <w:lang w:eastAsia="pl-PL"/>
        </w:rPr>
        <w:t>Korelacja zatrudnienia i liczby tytułów</w:t>
      </w:r>
    </w:p>
    <w:p w:rsidR="00032357" w:rsidRPr="00032357" w:rsidRDefault="00032357" w:rsidP="00032357">
      <w:pPr>
        <w:spacing w:after="0" w:line="240" w:lineRule="auto"/>
        <w:ind w:firstLine="360"/>
        <w:rPr>
          <w:rFonts w:ascii="Arial" w:eastAsia="Times New Roman" w:hAnsi="Arial" w:cs="Arial"/>
          <w:b/>
          <w:bCs/>
          <w:sz w:val="20"/>
          <w:szCs w:val="20"/>
          <w:lang w:eastAsia="pl-PL"/>
        </w:rPr>
      </w:pPr>
      <w:r>
        <w:rPr>
          <w:noProof/>
          <w:lang w:eastAsia="pl-PL"/>
        </w:rPr>
        <w:drawing>
          <wp:inline distT="0" distB="0" distL="0" distR="0">
            <wp:extent cx="4999518" cy="2307266"/>
            <wp:effectExtent l="19050" t="0" r="10632"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2357" w:rsidRDefault="00032357" w:rsidP="00032357">
      <w:pPr>
        <w:pStyle w:val="Akapitzlist"/>
        <w:spacing w:line="360" w:lineRule="auto"/>
        <w:ind w:left="0" w:firstLine="360"/>
        <w:rPr>
          <w:rFonts w:ascii="Times New Roman" w:hAnsi="Times New Roman" w:cs="Times New Roman"/>
          <w:sz w:val="24"/>
          <w:szCs w:val="24"/>
        </w:rPr>
      </w:pPr>
      <w:r w:rsidRPr="009A77FC">
        <w:rPr>
          <w:i/>
          <w:iCs/>
        </w:rPr>
        <w:t>Źródło: opracowanie własne</w:t>
      </w:r>
      <w:r>
        <w:rPr>
          <w:i/>
          <w:iCs/>
        </w:rPr>
        <w:t xml:space="preserve"> na podstawie danych Biblioteki Analiz</w:t>
      </w:r>
      <w:r w:rsidR="003A3F63">
        <w:rPr>
          <w:i/>
          <w:iCs/>
        </w:rPr>
        <w:t>.</w:t>
      </w:r>
    </w:p>
    <w:p w:rsidR="004838C4" w:rsidRDefault="00BA4E4E" w:rsidP="00567F66">
      <w:pPr>
        <w:pStyle w:val="Akapitzlist"/>
        <w:spacing w:line="360" w:lineRule="auto"/>
        <w:ind w:left="0" w:firstLine="360"/>
        <w:jc w:val="both"/>
        <w:rPr>
          <w:rFonts w:ascii="Times New Roman" w:hAnsi="Times New Roman" w:cs="Times New Roman"/>
          <w:sz w:val="24"/>
          <w:szCs w:val="24"/>
        </w:rPr>
      </w:pPr>
      <w:r w:rsidRPr="00BA4E4E">
        <w:rPr>
          <w:rFonts w:ascii="Times New Roman" w:hAnsi="Times New Roman" w:cs="Times New Roman"/>
          <w:sz w:val="24"/>
          <w:szCs w:val="24"/>
        </w:rPr>
        <w:t xml:space="preserve">W korelacji zatrudnienia i tytułów </w:t>
      </w:r>
      <w:r>
        <w:rPr>
          <w:rFonts w:ascii="Times New Roman" w:hAnsi="Times New Roman" w:cs="Times New Roman"/>
          <w:sz w:val="24"/>
          <w:szCs w:val="24"/>
        </w:rPr>
        <w:t>trudno już o tak ścisłą zbieżność, występuje ona tylko w latach 2007-2010, a szczególna rozbieżność jest po roku 2010. To niepokoi, przy większej liczbie tytułów (w</w:t>
      </w:r>
      <w:r w:rsidR="00E9775C">
        <w:rPr>
          <w:rFonts w:ascii="Times New Roman" w:hAnsi="Times New Roman" w:cs="Times New Roman"/>
          <w:sz w:val="24"/>
          <w:szCs w:val="24"/>
        </w:rPr>
        <w:t>edłu</w:t>
      </w:r>
      <w:r>
        <w:rPr>
          <w:rFonts w:ascii="Times New Roman" w:hAnsi="Times New Roman" w:cs="Times New Roman"/>
          <w:sz w:val="24"/>
          <w:szCs w:val="24"/>
        </w:rPr>
        <w:t>g danych Biblioteki Narodowej znacząco większych) jest zatrudnionych mniej osób i powstaje zasadne pytanie, czy ma to wpływ na jakość redagowania merytorycznego i technicznego. Oczywiście można zakładać, że część zwolnionych osób współpracuje na umowy zlecenia i o dzieło, ale to tylko łagodzi, a nie niweluje występujące dysproporcje.</w:t>
      </w:r>
    </w:p>
    <w:p w:rsidR="00695B6E" w:rsidRDefault="00695B6E" w:rsidP="00695B6E">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Pewnym wytłumaczeniem również tej sytuacji może być pojawienie się większej liczby autorów, którzy są dla siebie wydawcami. Tworzy to większą liczbę tytułów przy prawie niezmienionym zatrudnieniu. Ale to też jest niepokojące</w:t>
      </w:r>
      <w:r w:rsidR="00647FB9">
        <w:rPr>
          <w:rFonts w:ascii="Times New Roman" w:hAnsi="Times New Roman" w:cs="Times New Roman"/>
          <w:sz w:val="24"/>
          <w:szCs w:val="24"/>
        </w:rPr>
        <w:t>,</w:t>
      </w:r>
      <w:r>
        <w:rPr>
          <w:rFonts w:ascii="Times New Roman" w:hAnsi="Times New Roman" w:cs="Times New Roman"/>
          <w:sz w:val="24"/>
          <w:szCs w:val="24"/>
        </w:rPr>
        <w:t xml:space="preserve"> ponieważ mogą pojawić się marnej jakości wydawnictwa. Są one na małym obszarze (ze względu na nakład), ale przy dużej ich liczbie łącznie mogą stanowić jakiś problem jakościowy. </w:t>
      </w:r>
    </w:p>
    <w:p w:rsidR="00FD2608" w:rsidRDefault="00FD2608" w:rsidP="00695B6E">
      <w:pPr>
        <w:pStyle w:val="Akapitzlist"/>
        <w:spacing w:line="360" w:lineRule="auto"/>
        <w:ind w:left="0" w:firstLine="360"/>
        <w:jc w:val="both"/>
        <w:rPr>
          <w:rFonts w:ascii="Times New Roman" w:hAnsi="Times New Roman" w:cs="Times New Roman"/>
          <w:sz w:val="24"/>
          <w:szCs w:val="24"/>
        </w:rPr>
      </w:pPr>
    </w:p>
    <w:p w:rsidR="00FD2608" w:rsidRDefault="00FD2608" w:rsidP="00695B6E">
      <w:pPr>
        <w:pStyle w:val="Akapitzlist"/>
        <w:spacing w:line="360" w:lineRule="auto"/>
        <w:ind w:left="0" w:firstLine="360"/>
        <w:jc w:val="both"/>
        <w:rPr>
          <w:rFonts w:ascii="Times New Roman" w:hAnsi="Times New Roman" w:cs="Times New Roman"/>
          <w:sz w:val="24"/>
          <w:szCs w:val="24"/>
        </w:rPr>
      </w:pPr>
    </w:p>
    <w:p w:rsidR="00FD2608" w:rsidRDefault="00FD2608" w:rsidP="00695B6E">
      <w:pPr>
        <w:pStyle w:val="Akapitzlist"/>
        <w:spacing w:line="360" w:lineRule="auto"/>
        <w:ind w:left="0" w:firstLine="360"/>
        <w:jc w:val="both"/>
        <w:rPr>
          <w:rFonts w:ascii="Times New Roman" w:hAnsi="Times New Roman" w:cs="Times New Roman"/>
          <w:sz w:val="24"/>
          <w:szCs w:val="24"/>
        </w:rPr>
      </w:pPr>
    </w:p>
    <w:p w:rsidR="0074072E" w:rsidRDefault="0074072E" w:rsidP="00695B6E">
      <w:pPr>
        <w:pStyle w:val="Akapitzlist"/>
        <w:spacing w:line="360" w:lineRule="auto"/>
        <w:ind w:left="0" w:firstLine="360"/>
        <w:jc w:val="both"/>
        <w:rPr>
          <w:rFonts w:ascii="Arial" w:eastAsia="Times New Roman" w:hAnsi="Arial" w:cs="Arial"/>
          <w:b/>
          <w:bCs/>
          <w:sz w:val="20"/>
          <w:szCs w:val="20"/>
          <w:lang w:eastAsia="pl-PL"/>
        </w:rPr>
      </w:pPr>
    </w:p>
    <w:p w:rsidR="00BA4E4E" w:rsidRPr="00FD2608" w:rsidRDefault="00BA4E4E" w:rsidP="00FA3E90">
      <w:pPr>
        <w:spacing w:line="360" w:lineRule="auto"/>
        <w:jc w:val="both"/>
        <w:rPr>
          <w:rFonts w:ascii="Times New Roman" w:hAnsi="Times New Roman" w:cs="Times New Roman"/>
          <w:sz w:val="24"/>
          <w:szCs w:val="24"/>
        </w:rPr>
      </w:pPr>
      <w:r w:rsidRPr="00FD2608">
        <w:rPr>
          <w:rFonts w:ascii="Times New Roman" w:eastAsia="Times New Roman" w:hAnsi="Times New Roman" w:cs="Times New Roman"/>
          <w:b/>
          <w:bCs/>
          <w:sz w:val="24"/>
          <w:szCs w:val="24"/>
          <w:lang w:eastAsia="pl-PL"/>
        </w:rPr>
        <w:t>Korelacja zatrudnienia i sprzedaży</w:t>
      </w:r>
    </w:p>
    <w:p w:rsidR="00BA4E4E" w:rsidRDefault="00BA4E4E" w:rsidP="00BA4E4E">
      <w:pPr>
        <w:spacing w:after="0" w:line="240" w:lineRule="auto"/>
        <w:ind w:firstLine="360"/>
        <w:rPr>
          <w:rFonts w:ascii="Arial" w:eastAsia="Times New Roman" w:hAnsi="Arial" w:cs="Arial"/>
          <w:b/>
          <w:bCs/>
          <w:sz w:val="20"/>
          <w:szCs w:val="20"/>
          <w:lang w:eastAsia="pl-PL"/>
        </w:rPr>
      </w:pPr>
    </w:p>
    <w:p w:rsidR="00BA4E4E" w:rsidRPr="00BA4E4E" w:rsidRDefault="00BA4E4E" w:rsidP="00BA4E4E">
      <w:pPr>
        <w:spacing w:after="0" w:line="240" w:lineRule="auto"/>
        <w:ind w:firstLine="360"/>
        <w:rPr>
          <w:rFonts w:ascii="Arial" w:eastAsia="Times New Roman" w:hAnsi="Arial" w:cs="Arial"/>
          <w:b/>
          <w:bCs/>
          <w:sz w:val="20"/>
          <w:szCs w:val="20"/>
          <w:lang w:eastAsia="pl-PL"/>
        </w:rPr>
      </w:pPr>
      <w:r>
        <w:rPr>
          <w:noProof/>
          <w:lang w:eastAsia="pl-PL"/>
        </w:rPr>
        <w:drawing>
          <wp:inline distT="0" distB="0" distL="0" distR="0">
            <wp:extent cx="5254699" cy="2743200"/>
            <wp:effectExtent l="19050" t="0" r="22151"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C11CC" w:rsidRDefault="00BA4E4E" w:rsidP="0047141F">
      <w:pPr>
        <w:pStyle w:val="Akapitzlist"/>
        <w:spacing w:line="360" w:lineRule="auto"/>
        <w:ind w:left="0" w:firstLine="360"/>
        <w:rPr>
          <w:rFonts w:ascii="Times New Roman" w:hAnsi="Times New Roman" w:cs="Times New Roman"/>
          <w:sz w:val="24"/>
          <w:szCs w:val="24"/>
        </w:rPr>
      </w:pPr>
      <w:r w:rsidRPr="009A77FC">
        <w:rPr>
          <w:i/>
          <w:iCs/>
        </w:rPr>
        <w:t>Źródło: opracowanie własne</w:t>
      </w:r>
      <w:r>
        <w:rPr>
          <w:i/>
          <w:iCs/>
        </w:rPr>
        <w:t xml:space="preserve"> na podstawie danych Biblioteki Analiz</w:t>
      </w:r>
    </w:p>
    <w:p w:rsidR="008C7DD6" w:rsidRDefault="0047141F" w:rsidP="00567F6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Porównanie zatrudnienia i sprzedaży pokazuje obraz podobny do porównania zatrudnienia i produkcji, tutaj korelacje w trendach w poszczególnych odcinkach czasowych są wyraźne.</w:t>
      </w:r>
    </w:p>
    <w:p w:rsidR="00FA3E90" w:rsidRDefault="00FA3E90" w:rsidP="00FA3E90">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Omawiając rynek książki można zastanowić się ile osób w Polsce jest związana zawodowo z książką, jaka liczba osób jest zatrudniona w różnych obszarach dotyczących książki – od autora do czytelnika. Jest to znacznie więcej osób niż tylko pracujących w wydawnictwach na etatach, a mających z jednej strony wpływ na to co się dzieje z rynkiem książki, a z drugiej strony utrzymujących się z pracy przy książce.</w:t>
      </w:r>
    </w:p>
    <w:p w:rsidR="00FA3E90" w:rsidRDefault="00FA3E90" w:rsidP="00FA3E90">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W wydawnictwach na etatach w roku 2012 pracowało 5680 osób, do tego należy dodać ok. 25 proc.  pracowników zatrudnionych na umowach zlecenie lub umowach o dzieło. Do tego doliczyć trzeba: autorów, tłumaczy, grafików, operatorów w studiach DTP oraz wydawców okazjonalnych (zarejestrowanych jest ok. 35 tys. wydawnictw, chociaż przyjmuje się, że tylko 2-2,5 tys. jest czynnych). Należy również brać pod uwagę osoby pracujące przy e-bookach, które rozwijają się bardzo dynamicznie.</w:t>
      </w:r>
    </w:p>
    <w:p w:rsidR="00FD2608" w:rsidRDefault="00FD2608" w:rsidP="00FA3E90">
      <w:pPr>
        <w:pStyle w:val="Akapitzlist"/>
        <w:spacing w:line="360" w:lineRule="auto"/>
        <w:ind w:left="0" w:firstLine="360"/>
        <w:jc w:val="both"/>
        <w:rPr>
          <w:rFonts w:ascii="Times New Roman" w:hAnsi="Times New Roman" w:cs="Times New Roman"/>
          <w:sz w:val="24"/>
          <w:szCs w:val="24"/>
        </w:rPr>
      </w:pPr>
    </w:p>
    <w:p w:rsidR="003A3F63" w:rsidRDefault="003A3F63" w:rsidP="00FA3E90">
      <w:pPr>
        <w:pStyle w:val="Akapitzlist"/>
        <w:spacing w:line="360" w:lineRule="auto"/>
        <w:ind w:left="0" w:firstLine="360"/>
        <w:jc w:val="both"/>
        <w:rPr>
          <w:rFonts w:ascii="Times New Roman" w:hAnsi="Times New Roman" w:cs="Times New Roman"/>
          <w:sz w:val="24"/>
          <w:szCs w:val="24"/>
        </w:rPr>
      </w:pPr>
    </w:p>
    <w:p w:rsidR="00FA3E90" w:rsidRDefault="00FA3E90" w:rsidP="00FA3E90">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W polskich papierniach pracuje ok. 56 tys. pracowników – przyjmując, że tylko 20-25 proc. z nich pracuje przy produkcji papieru na książki i tak czyni to znaczącą liczbę pracowników. Dochodzą jeszcze pracownicy hurtowni papieru oraz pracownicy firm dystrybuujących papier z importu. Podobna sytuacja jest w przemyśle poligraficznym, gdzie zatrudnionych jest ponad 49 tys. osób, z czego ok. 20 proc. związanych jest z drukarniami dziełowymi. Liczba pracowników poligrafii związanych z książką rośnie, ponieważ coraz więcej książek jest drukowanych w technice druku cyfrowego, a to najczęściej są małe drukarnie</w:t>
      </w:r>
      <w:r w:rsidR="007E238E">
        <w:rPr>
          <w:rFonts w:ascii="Times New Roman" w:hAnsi="Times New Roman" w:cs="Times New Roman"/>
          <w:sz w:val="24"/>
          <w:szCs w:val="24"/>
        </w:rPr>
        <w:t>, ale liczne</w:t>
      </w:r>
      <w:r>
        <w:rPr>
          <w:rFonts w:ascii="Times New Roman" w:hAnsi="Times New Roman" w:cs="Times New Roman"/>
          <w:sz w:val="24"/>
          <w:szCs w:val="24"/>
        </w:rPr>
        <w:t>.</w:t>
      </w:r>
    </w:p>
    <w:p w:rsidR="00FA3E90" w:rsidRDefault="00FA3E90" w:rsidP="00FA3E90">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Kolejna grupa pracowników jest zatrudniona w dystrybucji książek. W hurtowniach pracowało 1170 osób, w księgarniach detalicznych 6170 osób. Ale grupa osób związana z książką na tym etapie </w:t>
      </w:r>
      <w:r w:rsidR="00A15541">
        <w:rPr>
          <w:rFonts w:ascii="Times New Roman" w:hAnsi="Times New Roman" w:cs="Times New Roman"/>
          <w:sz w:val="24"/>
          <w:szCs w:val="24"/>
        </w:rPr>
        <w:t>–</w:t>
      </w:r>
      <w:r>
        <w:rPr>
          <w:rFonts w:ascii="Times New Roman" w:hAnsi="Times New Roman" w:cs="Times New Roman"/>
          <w:sz w:val="24"/>
          <w:szCs w:val="24"/>
        </w:rPr>
        <w:t xml:space="preserve"> tzw. „trudno policzalna” – jest duża. Książka jest ponadto dystrybuowana poprzez: internet, kluby książki, hipermarkety i inne centra handlowe, wyspecjalizowane sklepy innych produktów sprzedających też książki, antykwariaty, punkty sprzedaży „taniej książki”, księgarnie prasowe. Do tego dochodzi sprzedaż bezpośrednia wydawnictw.</w:t>
      </w:r>
    </w:p>
    <w:p w:rsidR="00FA3E90" w:rsidRDefault="00FA3E90" w:rsidP="00FA3E90">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Dostęp czytelnika do książki zapewniają także biblioteki. W bibliotekach publicznych w 2010 roku było zatrudnionych 23471 osób, do tego dochodzą bibliotekarze szkolni (ok. </w:t>
      </w:r>
      <w:r w:rsidR="007E238E">
        <w:rPr>
          <w:rFonts w:ascii="Times New Roman" w:hAnsi="Times New Roman" w:cs="Times New Roman"/>
          <w:sz w:val="24"/>
          <w:szCs w:val="24"/>
        </w:rPr>
        <w:t>29</w:t>
      </w:r>
      <w:r>
        <w:rPr>
          <w:rFonts w:ascii="Times New Roman" w:hAnsi="Times New Roman" w:cs="Times New Roman"/>
          <w:sz w:val="24"/>
          <w:szCs w:val="24"/>
        </w:rPr>
        <w:t xml:space="preserve"> tys. szkół) </w:t>
      </w:r>
      <w:r w:rsidR="007E238E">
        <w:rPr>
          <w:rFonts w:ascii="Times New Roman" w:hAnsi="Times New Roman" w:cs="Times New Roman"/>
          <w:sz w:val="24"/>
          <w:szCs w:val="24"/>
        </w:rPr>
        <w:t>oraz</w:t>
      </w:r>
      <w:r>
        <w:rPr>
          <w:rFonts w:ascii="Times New Roman" w:hAnsi="Times New Roman" w:cs="Times New Roman"/>
          <w:sz w:val="24"/>
          <w:szCs w:val="24"/>
        </w:rPr>
        <w:t xml:space="preserve"> bibliotekarze pracujący </w:t>
      </w:r>
      <w:r w:rsidR="007E238E">
        <w:rPr>
          <w:rFonts w:ascii="Times New Roman" w:hAnsi="Times New Roman" w:cs="Times New Roman"/>
          <w:sz w:val="24"/>
          <w:szCs w:val="24"/>
        </w:rPr>
        <w:t xml:space="preserve">na uczelniach i innych </w:t>
      </w:r>
      <w:r>
        <w:rPr>
          <w:rFonts w:ascii="Times New Roman" w:hAnsi="Times New Roman" w:cs="Times New Roman"/>
          <w:sz w:val="24"/>
          <w:szCs w:val="24"/>
        </w:rPr>
        <w:t>wyspecjalizowanych instytucjach.</w:t>
      </w:r>
    </w:p>
    <w:p w:rsidR="00FA3E90" w:rsidRDefault="00FA3E90" w:rsidP="00223C53">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Sumując tych wszystkich pracowników można przyjąć, że zatrudnionych we wszystkich procesach twórczych, produkcyjnych i handlowych związanych z książką – od autora do czytelnika – jest ponad 80 tys. osób. Błąd oceny tej liczby może oznaczać tylko podniesienie liczby zatrudnionych osób, a nie jej obniżenie.</w:t>
      </w:r>
      <w:r w:rsidR="00223C53">
        <w:rPr>
          <w:rFonts w:ascii="Times New Roman" w:hAnsi="Times New Roman" w:cs="Times New Roman"/>
          <w:sz w:val="24"/>
          <w:szCs w:val="24"/>
        </w:rPr>
        <w:t xml:space="preserve"> </w:t>
      </w:r>
    </w:p>
    <w:p w:rsidR="00223C53" w:rsidRDefault="00223C53" w:rsidP="00223C53">
      <w:pPr>
        <w:spacing w:line="360" w:lineRule="auto"/>
        <w:ind w:firstLine="708"/>
        <w:jc w:val="both"/>
        <w:rPr>
          <w:rFonts w:ascii="Times New Roman" w:eastAsia="Times New Roman" w:hAnsi="Times New Roman" w:cs="Times New Roman"/>
          <w:b/>
          <w:bCs/>
          <w:sz w:val="24"/>
          <w:szCs w:val="24"/>
          <w:lang w:eastAsia="pl-PL"/>
        </w:rPr>
      </w:pPr>
    </w:p>
    <w:p w:rsidR="00223C53" w:rsidRDefault="00223C53" w:rsidP="00223C53">
      <w:pPr>
        <w:spacing w:line="360" w:lineRule="auto"/>
        <w:ind w:firstLine="708"/>
        <w:jc w:val="both"/>
        <w:rPr>
          <w:rFonts w:ascii="Times New Roman" w:eastAsia="Times New Roman" w:hAnsi="Times New Roman" w:cs="Times New Roman"/>
          <w:b/>
          <w:bCs/>
          <w:sz w:val="24"/>
          <w:szCs w:val="24"/>
          <w:lang w:eastAsia="pl-PL"/>
        </w:rPr>
      </w:pPr>
    </w:p>
    <w:p w:rsidR="00F13842" w:rsidRDefault="00F13842" w:rsidP="00223C53">
      <w:pPr>
        <w:spacing w:line="360" w:lineRule="auto"/>
        <w:ind w:firstLine="708"/>
        <w:jc w:val="both"/>
        <w:rPr>
          <w:rFonts w:ascii="Times New Roman" w:eastAsia="Times New Roman" w:hAnsi="Times New Roman" w:cs="Times New Roman"/>
          <w:b/>
          <w:bCs/>
          <w:sz w:val="24"/>
          <w:szCs w:val="24"/>
          <w:lang w:eastAsia="pl-PL"/>
        </w:rPr>
      </w:pPr>
    </w:p>
    <w:p w:rsidR="00223C53" w:rsidRDefault="00223C53" w:rsidP="00223C53">
      <w:pPr>
        <w:spacing w:line="360" w:lineRule="auto"/>
        <w:ind w:firstLine="708"/>
        <w:jc w:val="both"/>
        <w:rPr>
          <w:rFonts w:ascii="Times New Roman" w:eastAsia="Times New Roman" w:hAnsi="Times New Roman" w:cs="Times New Roman"/>
          <w:b/>
          <w:bCs/>
          <w:sz w:val="24"/>
          <w:szCs w:val="24"/>
          <w:lang w:eastAsia="pl-PL"/>
        </w:rPr>
      </w:pPr>
    </w:p>
    <w:p w:rsidR="00223C53" w:rsidRPr="00FD2608" w:rsidRDefault="00223C53" w:rsidP="00223C53">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t>Zatrudnienie w poszczególnych sektorach w branżach związanych z książką</w:t>
      </w:r>
    </w:p>
    <w:p w:rsidR="00223C53" w:rsidRDefault="00223C53" w:rsidP="00223C53">
      <w:pPr>
        <w:pStyle w:val="Akapitzlist"/>
        <w:spacing w:line="360" w:lineRule="auto"/>
        <w:ind w:left="360"/>
        <w:jc w:val="both"/>
        <w:rPr>
          <w:i/>
          <w:iCs/>
        </w:rPr>
      </w:pPr>
      <w:r w:rsidRPr="00223C53">
        <w:rPr>
          <w:rFonts w:ascii="Times New Roman" w:hAnsi="Times New Roman" w:cs="Times New Roman"/>
          <w:noProof/>
          <w:sz w:val="24"/>
          <w:szCs w:val="24"/>
          <w:lang w:eastAsia="pl-PL"/>
        </w:rPr>
        <w:drawing>
          <wp:inline distT="0" distB="0" distL="0" distR="0">
            <wp:extent cx="5543550" cy="3371850"/>
            <wp:effectExtent l="19050" t="0" r="19050" b="0"/>
            <wp:docPr id="1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7D22" w:rsidRDefault="00223C53" w:rsidP="00223C53">
      <w:pPr>
        <w:pStyle w:val="Akapitzlist"/>
        <w:spacing w:line="360" w:lineRule="auto"/>
        <w:ind w:left="360"/>
        <w:jc w:val="both"/>
        <w:rPr>
          <w:i/>
          <w:iCs/>
        </w:rPr>
      </w:pPr>
      <w:r w:rsidRPr="009A77FC">
        <w:rPr>
          <w:i/>
          <w:iCs/>
        </w:rPr>
        <w:t>Źródło: opracowanie własne</w:t>
      </w:r>
      <w:r w:rsidR="003A3F63">
        <w:rPr>
          <w:i/>
          <w:iCs/>
        </w:rPr>
        <w:t>.</w:t>
      </w:r>
    </w:p>
    <w:p w:rsidR="003A3F63" w:rsidRDefault="00223C53" w:rsidP="00223C53">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Powyższy wykres przedstawia łączne zatrudnienie od 2007 roku. Część danych jest „twarda” wynikająca ze statystyk GUS, ale część danych jest szacunkowa, chociaż podstawą szacunków były również dane GUS. W tej drodze książki od autora do czytelnika bierze udział pięć sektorów: papiernicy, poligrafowie, wydawcy, dystrybutorzy i bibliotekarze. Pierwsze cztery sektory zatrudniają przy książce po ok. 10 tys. osób, bibliotekarze są najliczniejsi.</w:t>
      </w:r>
      <w:r w:rsidR="003457D6">
        <w:rPr>
          <w:rFonts w:ascii="Times New Roman" w:hAnsi="Times New Roman" w:cs="Times New Roman"/>
          <w:sz w:val="24"/>
          <w:szCs w:val="24"/>
        </w:rPr>
        <w:t xml:space="preserve"> Od 2009 roku tendencja łącznego zatrudnienia jest malejąca.</w:t>
      </w:r>
      <w:r w:rsidR="003A3F63">
        <w:rPr>
          <w:rFonts w:ascii="Times New Roman" w:hAnsi="Times New Roman" w:cs="Times New Roman"/>
          <w:sz w:val="24"/>
          <w:szCs w:val="24"/>
        </w:rPr>
        <w:br/>
      </w:r>
      <w:r w:rsidR="003A3F63">
        <w:rPr>
          <w:rFonts w:ascii="Times New Roman" w:hAnsi="Times New Roman" w:cs="Times New Roman"/>
          <w:sz w:val="24"/>
          <w:szCs w:val="24"/>
        </w:rPr>
        <w:br/>
      </w:r>
      <w:r w:rsidR="003A3F63">
        <w:rPr>
          <w:rFonts w:ascii="Times New Roman" w:hAnsi="Times New Roman" w:cs="Times New Roman"/>
          <w:sz w:val="24"/>
          <w:szCs w:val="24"/>
        </w:rPr>
        <w:br/>
      </w:r>
    </w:p>
    <w:p w:rsidR="00223C53" w:rsidRDefault="003A3F63" w:rsidP="00223C53">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p>
    <w:p w:rsidR="008C2E97" w:rsidRDefault="008C2E97" w:rsidP="00332277">
      <w:pPr>
        <w:pStyle w:val="Akapitzlist"/>
        <w:numPr>
          <w:ilvl w:val="2"/>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Sprzedaż produkcji </w:t>
      </w:r>
      <w:r w:rsidR="0047141F">
        <w:rPr>
          <w:rFonts w:ascii="Times New Roman" w:hAnsi="Times New Roman" w:cs="Times New Roman"/>
          <w:sz w:val="24"/>
          <w:szCs w:val="24"/>
        </w:rPr>
        <w:t>wydawniczej</w:t>
      </w:r>
      <w:r w:rsidR="00F62AAB">
        <w:rPr>
          <w:rFonts w:ascii="Times New Roman" w:hAnsi="Times New Roman" w:cs="Times New Roman"/>
          <w:sz w:val="24"/>
          <w:szCs w:val="24"/>
        </w:rPr>
        <w:t xml:space="preserve"> książek drukowanych</w:t>
      </w:r>
    </w:p>
    <w:p w:rsidR="00695B6E" w:rsidRDefault="00F62AAB" w:rsidP="00695B6E">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Produkcja wydawnicza książek w mln egz. w ostatnim dziesięcioleciu wykazuje ogólną tendencję spadkową, szczególnie wyraźną od 2010 roku, chociaż w poszczególnych latach zdarzały się wzrosty. </w:t>
      </w:r>
      <w:bookmarkStart w:id="7" w:name="OLE_LINK5"/>
      <w:bookmarkStart w:id="8" w:name="OLE_LINK6"/>
    </w:p>
    <w:p w:rsidR="00F62AAB" w:rsidRPr="003457D6" w:rsidRDefault="00F62AAB" w:rsidP="003457D6">
      <w:pPr>
        <w:spacing w:line="360" w:lineRule="auto"/>
        <w:ind w:firstLine="360"/>
        <w:jc w:val="both"/>
        <w:rPr>
          <w:rFonts w:ascii="Times New Roman" w:hAnsi="Times New Roman" w:cs="Times New Roman"/>
          <w:sz w:val="24"/>
          <w:szCs w:val="24"/>
        </w:rPr>
      </w:pPr>
      <w:r w:rsidRPr="00014854">
        <w:rPr>
          <w:rFonts w:ascii="Times New Roman" w:eastAsia="Times New Roman" w:hAnsi="Times New Roman" w:cs="Times New Roman"/>
          <w:b/>
          <w:bCs/>
          <w:sz w:val="24"/>
          <w:szCs w:val="24"/>
          <w:lang w:eastAsia="pl-PL"/>
        </w:rPr>
        <w:t>Sprzedaż produkcji wydawniczej w mln zł (ceny bieżące)</w:t>
      </w:r>
    </w:p>
    <w:p w:rsidR="00F62AAB" w:rsidRPr="00F62AAB" w:rsidRDefault="00905767" w:rsidP="00F62AAB">
      <w:pPr>
        <w:spacing w:after="0" w:line="240" w:lineRule="auto"/>
        <w:ind w:firstLine="360"/>
        <w:rPr>
          <w:rFonts w:ascii="Arial" w:eastAsia="Times New Roman" w:hAnsi="Arial" w:cs="Arial"/>
          <w:b/>
          <w:bCs/>
          <w:sz w:val="20"/>
          <w:szCs w:val="20"/>
          <w:lang w:eastAsia="pl-PL"/>
        </w:rPr>
      </w:pPr>
      <w:r w:rsidRPr="00905767">
        <w:rPr>
          <w:rFonts w:ascii="Arial" w:eastAsia="Times New Roman" w:hAnsi="Arial" w:cs="Arial"/>
          <w:b/>
          <w:bCs/>
          <w:noProof/>
          <w:sz w:val="20"/>
          <w:szCs w:val="20"/>
          <w:lang w:eastAsia="pl-PL"/>
        </w:rPr>
        <w:drawing>
          <wp:inline distT="0" distB="0" distL="0" distR="0">
            <wp:extent cx="5639132" cy="3363402"/>
            <wp:effectExtent l="19050" t="0" r="18718" b="8448"/>
            <wp:docPr id="1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7"/>
    <w:bookmarkEnd w:id="8"/>
    <w:p w:rsidR="00F62AAB" w:rsidRPr="00F62AAB" w:rsidRDefault="00F62AAB" w:rsidP="003457D6">
      <w:pPr>
        <w:spacing w:before="240" w:line="360" w:lineRule="auto"/>
        <w:ind w:firstLine="360"/>
        <w:rPr>
          <w:rFonts w:ascii="Times New Roman" w:hAnsi="Times New Roman" w:cs="Times New Roman"/>
          <w:sz w:val="24"/>
          <w:szCs w:val="24"/>
        </w:rPr>
      </w:pPr>
      <w:r w:rsidRPr="00F62AAB">
        <w:rPr>
          <w:i/>
          <w:iCs/>
        </w:rPr>
        <w:t>Źródło: opracowanie własne na podstawie danych Biblioteki Analiz</w:t>
      </w:r>
    </w:p>
    <w:p w:rsidR="003457D6" w:rsidRDefault="00905767" w:rsidP="003457D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Natomiast sprzedaż w cenach bieżących wykazuje tendencję wzrostową; ta diagnoza jest słuszna do roku 2010, ponieważ tak jak od tego roku spadała produkcja, zaczęła spadać sprzedaż. Jest to tym bardziej niepokojące, że </w:t>
      </w:r>
      <w:r w:rsidR="00014854">
        <w:rPr>
          <w:rFonts w:ascii="Times New Roman" w:hAnsi="Times New Roman" w:cs="Times New Roman"/>
          <w:sz w:val="24"/>
          <w:szCs w:val="24"/>
        </w:rPr>
        <w:t xml:space="preserve">– </w:t>
      </w:r>
      <w:r>
        <w:rPr>
          <w:rFonts w:ascii="Times New Roman" w:hAnsi="Times New Roman" w:cs="Times New Roman"/>
          <w:sz w:val="24"/>
          <w:szCs w:val="24"/>
        </w:rPr>
        <w:t>jak</w:t>
      </w:r>
      <w:r w:rsidR="00014854">
        <w:rPr>
          <w:rFonts w:ascii="Times New Roman" w:hAnsi="Times New Roman" w:cs="Times New Roman"/>
          <w:sz w:val="24"/>
          <w:szCs w:val="24"/>
        </w:rPr>
        <w:t xml:space="preserve"> </w:t>
      </w:r>
      <w:r>
        <w:rPr>
          <w:rFonts w:ascii="Times New Roman" w:hAnsi="Times New Roman" w:cs="Times New Roman"/>
          <w:sz w:val="24"/>
          <w:szCs w:val="24"/>
        </w:rPr>
        <w:t>widać na poniższym rysunku</w:t>
      </w:r>
      <w:r w:rsidR="00014854">
        <w:rPr>
          <w:rFonts w:ascii="Times New Roman" w:hAnsi="Times New Roman" w:cs="Times New Roman"/>
          <w:sz w:val="24"/>
          <w:szCs w:val="24"/>
        </w:rPr>
        <w:t xml:space="preserve"> – </w:t>
      </w:r>
      <w:r>
        <w:rPr>
          <w:rFonts w:ascii="Times New Roman" w:hAnsi="Times New Roman" w:cs="Times New Roman"/>
          <w:sz w:val="24"/>
          <w:szCs w:val="24"/>
        </w:rPr>
        <w:t>od</w:t>
      </w:r>
      <w:r w:rsidR="00014854">
        <w:rPr>
          <w:rFonts w:ascii="Times New Roman" w:hAnsi="Times New Roman" w:cs="Times New Roman"/>
          <w:sz w:val="24"/>
          <w:szCs w:val="24"/>
        </w:rPr>
        <w:t xml:space="preserve"> </w:t>
      </w:r>
      <w:r>
        <w:rPr>
          <w:rFonts w:ascii="Times New Roman" w:hAnsi="Times New Roman" w:cs="Times New Roman"/>
          <w:sz w:val="24"/>
          <w:szCs w:val="24"/>
        </w:rPr>
        <w:t xml:space="preserve"> 2010 roku wzrosły ceny zbytu i ceny detaliczne. Może więc przynajmniej częściowo spadek sprzedaży wynika ze wzrostu cen detalicznych?</w:t>
      </w:r>
    </w:p>
    <w:p w:rsidR="00905767" w:rsidRPr="003457D6" w:rsidRDefault="00567F66" w:rsidP="003457D6">
      <w:pPr>
        <w:pStyle w:val="Akapitzlist"/>
        <w:spacing w:line="360" w:lineRule="auto"/>
        <w:ind w:left="0" w:firstLine="360"/>
        <w:jc w:val="both"/>
        <w:rPr>
          <w:rFonts w:ascii="Times New Roman" w:hAnsi="Times New Roman" w:cs="Times New Roman"/>
          <w:sz w:val="24"/>
          <w:szCs w:val="24"/>
        </w:rPr>
      </w:pPr>
      <w:r w:rsidRPr="00014854">
        <w:rPr>
          <w:rFonts w:ascii="Times New Roman" w:eastAsia="Times New Roman" w:hAnsi="Times New Roman" w:cs="Times New Roman"/>
          <w:b/>
          <w:bCs/>
          <w:sz w:val="24"/>
          <w:szCs w:val="24"/>
          <w:lang w:eastAsia="pl-PL"/>
        </w:rPr>
        <w:lastRenderedPageBreak/>
        <w:br/>
      </w:r>
      <w:r w:rsidR="00905767" w:rsidRPr="00014854">
        <w:rPr>
          <w:rFonts w:ascii="Times New Roman" w:eastAsia="Times New Roman" w:hAnsi="Times New Roman" w:cs="Times New Roman"/>
          <w:b/>
          <w:bCs/>
          <w:sz w:val="24"/>
          <w:szCs w:val="24"/>
          <w:lang w:eastAsia="pl-PL"/>
        </w:rPr>
        <w:t>Korelacje średnich cen zbytu i cen detalicznych oraz sprzedaży</w:t>
      </w:r>
    </w:p>
    <w:p w:rsidR="00905767" w:rsidRDefault="00905767" w:rsidP="00905767">
      <w:pPr>
        <w:spacing w:after="0" w:line="240" w:lineRule="auto"/>
        <w:ind w:firstLine="360"/>
        <w:rPr>
          <w:rFonts w:ascii="Arial" w:eastAsia="Times New Roman" w:hAnsi="Arial" w:cs="Arial"/>
          <w:b/>
          <w:bCs/>
          <w:sz w:val="20"/>
          <w:szCs w:val="20"/>
          <w:lang w:eastAsia="pl-PL"/>
        </w:rPr>
      </w:pPr>
    </w:p>
    <w:p w:rsidR="00905767" w:rsidRPr="00905767" w:rsidRDefault="00905767" w:rsidP="00905767">
      <w:pPr>
        <w:spacing w:after="0" w:line="240" w:lineRule="auto"/>
        <w:ind w:firstLine="360"/>
        <w:rPr>
          <w:rFonts w:ascii="Arial" w:eastAsia="Times New Roman" w:hAnsi="Arial" w:cs="Arial"/>
          <w:b/>
          <w:bCs/>
          <w:sz w:val="20"/>
          <w:szCs w:val="20"/>
          <w:lang w:eastAsia="pl-PL"/>
        </w:rPr>
      </w:pPr>
      <w:r w:rsidRPr="00905767">
        <w:rPr>
          <w:rFonts w:ascii="Arial" w:eastAsia="Times New Roman" w:hAnsi="Arial" w:cs="Arial"/>
          <w:b/>
          <w:bCs/>
          <w:noProof/>
          <w:sz w:val="20"/>
          <w:szCs w:val="20"/>
          <w:lang w:eastAsia="pl-PL"/>
        </w:rPr>
        <w:drawing>
          <wp:inline distT="0" distB="0" distL="0" distR="0">
            <wp:extent cx="5670476" cy="2849526"/>
            <wp:effectExtent l="19050" t="0" r="25474" b="7974"/>
            <wp:docPr id="13"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5767" w:rsidRPr="00F62AAB" w:rsidRDefault="00905767" w:rsidP="00905767">
      <w:pPr>
        <w:spacing w:line="360" w:lineRule="auto"/>
        <w:ind w:firstLine="360"/>
        <w:rPr>
          <w:rFonts w:ascii="Times New Roman" w:hAnsi="Times New Roman" w:cs="Times New Roman"/>
          <w:sz w:val="24"/>
          <w:szCs w:val="24"/>
        </w:rPr>
      </w:pPr>
      <w:r w:rsidRPr="00F62AAB">
        <w:rPr>
          <w:i/>
          <w:iCs/>
        </w:rPr>
        <w:t>Źródło: opracowanie własne na podstawie danych Biblioteki Analiz</w:t>
      </w:r>
      <w:r w:rsidR="00FE159B">
        <w:rPr>
          <w:i/>
          <w:iCs/>
        </w:rPr>
        <w:t>.</w:t>
      </w:r>
    </w:p>
    <w:p w:rsidR="003C11CC" w:rsidRDefault="00905767" w:rsidP="00567F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Wyraźny wzrost cen hurtowych </w:t>
      </w:r>
      <w:r w:rsidR="00E74887">
        <w:rPr>
          <w:rFonts w:ascii="Times New Roman" w:hAnsi="Times New Roman" w:cs="Times New Roman"/>
          <w:sz w:val="24"/>
          <w:szCs w:val="24"/>
        </w:rPr>
        <w:t>można tłumaczyć dość dużą inflacją, która od roku 2009 do roku</w:t>
      </w:r>
      <w:r w:rsidR="00567F66">
        <w:rPr>
          <w:rFonts w:ascii="Times New Roman" w:hAnsi="Times New Roman" w:cs="Times New Roman"/>
          <w:sz w:val="24"/>
          <w:szCs w:val="24"/>
        </w:rPr>
        <w:t xml:space="preserve"> 2012 wynosiła odpowiednio: 3,5 proc., 2,6 proc., 4,3 proc., 3,7 proc.</w:t>
      </w:r>
      <w:r w:rsidR="00E74887">
        <w:rPr>
          <w:rFonts w:ascii="Times New Roman" w:hAnsi="Times New Roman" w:cs="Times New Roman"/>
          <w:sz w:val="24"/>
          <w:szCs w:val="24"/>
        </w:rPr>
        <w:t xml:space="preserve">; w roku </w:t>
      </w:r>
      <w:r w:rsidR="00BC21DA">
        <w:rPr>
          <w:rFonts w:ascii="Times New Roman" w:hAnsi="Times New Roman" w:cs="Times New Roman"/>
          <w:sz w:val="24"/>
          <w:szCs w:val="24"/>
        </w:rPr>
        <w:t>2013 gwałtownie wyhamowuje (0,2 proc.</w:t>
      </w:r>
      <w:r w:rsidR="00E74887">
        <w:rPr>
          <w:rFonts w:ascii="Times New Roman" w:hAnsi="Times New Roman" w:cs="Times New Roman"/>
          <w:sz w:val="24"/>
          <w:szCs w:val="24"/>
        </w:rPr>
        <w:t xml:space="preserve">). Ale chyba nie można tłumaczyć wzrostem cen usług poligraficznych, chociaż ten argument jest czasami przywoływany. W </w:t>
      </w:r>
      <w:r w:rsidR="000E06D3">
        <w:rPr>
          <w:rFonts w:ascii="Times New Roman" w:hAnsi="Times New Roman" w:cs="Times New Roman"/>
          <w:sz w:val="24"/>
          <w:szCs w:val="24"/>
        </w:rPr>
        <w:t xml:space="preserve">ostatnim </w:t>
      </w:r>
      <w:r w:rsidR="00E74887">
        <w:rPr>
          <w:rFonts w:ascii="Times New Roman" w:hAnsi="Times New Roman" w:cs="Times New Roman"/>
          <w:sz w:val="24"/>
          <w:szCs w:val="24"/>
        </w:rPr>
        <w:t>siedmioletnim okresie ceny usług poligraficznych w trzech latach wzrastał</w:t>
      </w:r>
      <w:r w:rsidR="00BC21DA">
        <w:rPr>
          <w:rFonts w:ascii="Times New Roman" w:hAnsi="Times New Roman" w:cs="Times New Roman"/>
          <w:sz w:val="24"/>
          <w:szCs w:val="24"/>
        </w:rPr>
        <w:t>y, najwięcej w 2011 roku (102,7 proc.</w:t>
      </w:r>
      <w:r w:rsidR="00E74887">
        <w:rPr>
          <w:rFonts w:ascii="Times New Roman" w:hAnsi="Times New Roman" w:cs="Times New Roman"/>
          <w:sz w:val="24"/>
          <w:szCs w:val="24"/>
        </w:rPr>
        <w:t>), ale w tym roku ceny zbytu</w:t>
      </w:r>
      <w:r w:rsidR="00BC21DA">
        <w:rPr>
          <w:rFonts w:ascii="Times New Roman" w:hAnsi="Times New Roman" w:cs="Times New Roman"/>
          <w:sz w:val="24"/>
          <w:szCs w:val="24"/>
        </w:rPr>
        <w:t xml:space="preserve"> wzrosły znacznie więcej (108,1 proc.</w:t>
      </w:r>
      <w:r w:rsidR="00E74887">
        <w:rPr>
          <w:rFonts w:ascii="Times New Roman" w:hAnsi="Times New Roman" w:cs="Times New Roman"/>
          <w:sz w:val="24"/>
          <w:szCs w:val="24"/>
        </w:rPr>
        <w:t>)</w:t>
      </w:r>
      <w:r w:rsidR="000E06D3">
        <w:rPr>
          <w:rFonts w:ascii="Times New Roman" w:hAnsi="Times New Roman" w:cs="Times New Roman"/>
          <w:sz w:val="24"/>
          <w:szCs w:val="24"/>
        </w:rPr>
        <w:t>. Ani ceny zbytu, ani ceny detaliczne w omawianym zakresie nie spadały, a ceny usług poligraficznych w czterech latach były niższe niż w roku poprzednim.</w:t>
      </w:r>
    </w:p>
    <w:p w:rsidR="000E06D3" w:rsidRDefault="000E06D3" w:rsidP="00567F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Natomiast widać dość wyraźną korelację we wzrostach i spadkach cen zbytu i cen detalicznych. Jest to więc jakiś mechanizm (zasada), która zmienia ceny detaliczne w takt cen zbytu, rynek czytelnika ma niewiele do powiedzenia, ale czy czytelnik to akceptuje, czy jak wspomniano spadek sprzedaży nie wynika również z nadmiernego wzrostu cen detalicznych.</w:t>
      </w:r>
    </w:p>
    <w:p w:rsidR="0074072E" w:rsidRDefault="0074072E" w:rsidP="00567F66">
      <w:pPr>
        <w:spacing w:line="360" w:lineRule="auto"/>
        <w:ind w:firstLine="360"/>
        <w:jc w:val="both"/>
        <w:rPr>
          <w:rFonts w:ascii="Times New Roman" w:hAnsi="Times New Roman" w:cs="Times New Roman"/>
          <w:sz w:val="24"/>
          <w:szCs w:val="24"/>
        </w:rPr>
      </w:pPr>
    </w:p>
    <w:p w:rsidR="007402A7" w:rsidRDefault="007402A7" w:rsidP="00567F66">
      <w:pPr>
        <w:spacing w:line="360" w:lineRule="auto"/>
        <w:ind w:firstLine="360"/>
        <w:jc w:val="both"/>
        <w:rPr>
          <w:rFonts w:ascii="Times New Roman" w:hAnsi="Times New Roman" w:cs="Times New Roman"/>
          <w:sz w:val="24"/>
          <w:szCs w:val="24"/>
        </w:rPr>
      </w:pPr>
    </w:p>
    <w:p w:rsidR="00E74887" w:rsidRPr="007402A7" w:rsidRDefault="00BC21DA" w:rsidP="00E74887">
      <w:pPr>
        <w:spacing w:after="0" w:line="240" w:lineRule="auto"/>
        <w:ind w:firstLine="360"/>
        <w:rPr>
          <w:rFonts w:ascii="Times New Roman" w:eastAsia="Times New Roman" w:hAnsi="Times New Roman" w:cs="Times New Roman"/>
          <w:b/>
          <w:bCs/>
          <w:sz w:val="24"/>
          <w:szCs w:val="24"/>
          <w:lang w:eastAsia="pl-PL"/>
        </w:rPr>
      </w:pPr>
      <w:r w:rsidRPr="007402A7">
        <w:rPr>
          <w:rFonts w:ascii="Times New Roman" w:eastAsia="Times New Roman" w:hAnsi="Times New Roman" w:cs="Times New Roman"/>
          <w:b/>
          <w:bCs/>
          <w:sz w:val="24"/>
          <w:szCs w:val="24"/>
          <w:lang w:eastAsia="pl-PL"/>
        </w:rPr>
        <w:lastRenderedPageBreak/>
        <w:br/>
      </w:r>
      <w:r w:rsidR="00E74887" w:rsidRPr="007402A7">
        <w:rPr>
          <w:rFonts w:ascii="Times New Roman" w:eastAsia="Times New Roman" w:hAnsi="Times New Roman" w:cs="Times New Roman"/>
          <w:b/>
          <w:bCs/>
          <w:sz w:val="24"/>
          <w:szCs w:val="24"/>
          <w:lang w:eastAsia="pl-PL"/>
        </w:rPr>
        <w:t>Dynamika cen zbytu i cen detalicznych książek oraz produkcji sprzedanej poligrafii</w:t>
      </w:r>
    </w:p>
    <w:p w:rsidR="00E74887" w:rsidRDefault="00E74887" w:rsidP="00E74887">
      <w:pPr>
        <w:spacing w:after="0" w:line="240" w:lineRule="auto"/>
        <w:ind w:firstLine="360"/>
        <w:rPr>
          <w:rFonts w:ascii="Arial" w:eastAsia="Times New Roman" w:hAnsi="Arial" w:cs="Arial"/>
          <w:b/>
          <w:bCs/>
          <w:sz w:val="20"/>
          <w:szCs w:val="20"/>
          <w:lang w:eastAsia="pl-PL"/>
        </w:rPr>
      </w:pPr>
    </w:p>
    <w:p w:rsidR="00E74887" w:rsidRPr="00E74887" w:rsidRDefault="00E74887" w:rsidP="00E74887">
      <w:pPr>
        <w:spacing w:after="0" w:line="240" w:lineRule="auto"/>
        <w:ind w:firstLine="360"/>
        <w:rPr>
          <w:rFonts w:ascii="Arial" w:eastAsia="Times New Roman" w:hAnsi="Arial" w:cs="Arial"/>
          <w:b/>
          <w:bCs/>
          <w:sz w:val="20"/>
          <w:szCs w:val="20"/>
          <w:lang w:eastAsia="pl-PL"/>
        </w:rPr>
      </w:pPr>
      <w:r w:rsidRPr="00E74887">
        <w:rPr>
          <w:rFonts w:ascii="Arial" w:eastAsia="Times New Roman" w:hAnsi="Arial" w:cs="Arial"/>
          <w:b/>
          <w:bCs/>
          <w:noProof/>
          <w:sz w:val="20"/>
          <w:szCs w:val="20"/>
          <w:lang w:eastAsia="pl-PL"/>
        </w:rPr>
        <w:drawing>
          <wp:inline distT="0" distB="0" distL="0" distR="0">
            <wp:extent cx="4828289" cy="3083442"/>
            <wp:effectExtent l="19050" t="0" r="10411" b="2658"/>
            <wp:docPr id="14"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C11CC" w:rsidRDefault="00E74887" w:rsidP="007F0BAB">
      <w:pPr>
        <w:spacing w:line="360" w:lineRule="auto"/>
        <w:ind w:firstLine="360"/>
        <w:rPr>
          <w:i/>
          <w:iCs/>
        </w:rPr>
      </w:pPr>
      <w:r w:rsidRPr="007F0BAB">
        <w:rPr>
          <w:i/>
          <w:iCs/>
        </w:rPr>
        <w:t>Źródło: opracowanie własne na podstawie danych GUS i  Biblioteki Analiz</w:t>
      </w:r>
      <w:r w:rsidR="00FE159B">
        <w:rPr>
          <w:i/>
          <w:iCs/>
        </w:rPr>
        <w:t>.</w:t>
      </w:r>
    </w:p>
    <w:p w:rsidR="007402A7" w:rsidRDefault="007402A7" w:rsidP="003457D6">
      <w:pPr>
        <w:spacing w:line="360" w:lineRule="auto"/>
        <w:ind w:firstLine="360"/>
        <w:rPr>
          <w:i/>
          <w:iCs/>
        </w:rPr>
      </w:pPr>
    </w:p>
    <w:p w:rsidR="003C11CC" w:rsidRPr="003C11CC" w:rsidRDefault="003C11CC" w:rsidP="003C11CC">
      <w:pPr>
        <w:pStyle w:val="Akapitzlist"/>
        <w:numPr>
          <w:ilvl w:val="0"/>
          <w:numId w:val="3"/>
        </w:numPr>
        <w:spacing w:line="360" w:lineRule="auto"/>
        <w:rPr>
          <w:rFonts w:ascii="Times New Roman" w:hAnsi="Times New Roman" w:cs="Times New Roman"/>
          <w:vanish/>
          <w:sz w:val="24"/>
          <w:szCs w:val="24"/>
        </w:rPr>
      </w:pPr>
    </w:p>
    <w:p w:rsidR="003C11CC" w:rsidRPr="003C11CC" w:rsidRDefault="003C11CC" w:rsidP="003C11CC">
      <w:pPr>
        <w:pStyle w:val="Akapitzlist"/>
        <w:numPr>
          <w:ilvl w:val="0"/>
          <w:numId w:val="3"/>
        </w:numPr>
        <w:spacing w:line="360" w:lineRule="auto"/>
        <w:rPr>
          <w:rFonts w:ascii="Times New Roman" w:hAnsi="Times New Roman" w:cs="Times New Roman"/>
          <w:vanish/>
          <w:sz w:val="24"/>
          <w:szCs w:val="24"/>
        </w:rPr>
      </w:pPr>
    </w:p>
    <w:p w:rsidR="003C11CC" w:rsidRPr="003C11CC" w:rsidRDefault="003C11CC" w:rsidP="003C11CC">
      <w:pPr>
        <w:pStyle w:val="Akapitzlist"/>
        <w:numPr>
          <w:ilvl w:val="1"/>
          <w:numId w:val="3"/>
        </w:numPr>
        <w:spacing w:line="360" w:lineRule="auto"/>
        <w:rPr>
          <w:rFonts w:ascii="Times New Roman" w:hAnsi="Times New Roman" w:cs="Times New Roman"/>
          <w:vanish/>
          <w:sz w:val="24"/>
          <w:szCs w:val="24"/>
        </w:rPr>
      </w:pPr>
    </w:p>
    <w:p w:rsidR="003C11CC" w:rsidRPr="003C11CC" w:rsidRDefault="003C11CC" w:rsidP="003C11CC">
      <w:pPr>
        <w:pStyle w:val="Akapitzlist"/>
        <w:numPr>
          <w:ilvl w:val="2"/>
          <w:numId w:val="3"/>
        </w:numPr>
        <w:spacing w:line="360" w:lineRule="auto"/>
        <w:rPr>
          <w:rFonts w:ascii="Times New Roman" w:hAnsi="Times New Roman" w:cs="Times New Roman"/>
          <w:vanish/>
          <w:sz w:val="24"/>
          <w:szCs w:val="24"/>
        </w:rPr>
      </w:pPr>
    </w:p>
    <w:p w:rsidR="003C11CC" w:rsidRPr="003C11CC" w:rsidRDefault="003C11CC" w:rsidP="003C11CC">
      <w:pPr>
        <w:pStyle w:val="Akapitzlist"/>
        <w:numPr>
          <w:ilvl w:val="2"/>
          <w:numId w:val="3"/>
        </w:numPr>
        <w:spacing w:line="360" w:lineRule="auto"/>
        <w:rPr>
          <w:rFonts w:ascii="Times New Roman" w:hAnsi="Times New Roman" w:cs="Times New Roman"/>
          <w:vanish/>
          <w:sz w:val="24"/>
          <w:szCs w:val="24"/>
        </w:rPr>
      </w:pPr>
    </w:p>
    <w:p w:rsidR="003C11CC" w:rsidRPr="003C11CC" w:rsidRDefault="003C11CC" w:rsidP="003C11CC">
      <w:pPr>
        <w:pStyle w:val="Akapitzlist"/>
        <w:numPr>
          <w:ilvl w:val="2"/>
          <w:numId w:val="3"/>
        </w:numPr>
        <w:spacing w:line="360" w:lineRule="auto"/>
        <w:rPr>
          <w:rFonts w:ascii="Times New Roman" w:hAnsi="Times New Roman" w:cs="Times New Roman"/>
          <w:vanish/>
          <w:sz w:val="24"/>
          <w:szCs w:val="24"/>
        </w:rPr>
      </w:pPr>
    </w:p>
    <w:p w:rsidR="003C11CC" w:rsidRPr="003C11CC" w:rsidRDefault="003C11CC" w:rsidP="003C11CC">
      <w:pPr>
        <w:pStyle w:val="Akapitzlist"/>
        <w:numPr>
          <w:ilvl w:val="2"/>
          <w:numId w:val="3"/>
        </w:numPr>
        <w:spacing w:line="360" w:lineRule="auto"/>
        <w:rPr>
          <w:rFonts w:ascii="Times New Roman" w:hAnsi="Times New Roman" w:cs="Times New Roman"/>
          <w:vanish/>
          <w:sz w:val="24"/>
          <w:szCs w:val="24"/>
        </w:rPr>
      </w:pPr>
    </w:p>
    <w:p w:rsidR="007F0BAB" w:rsidRDefault="007F0BAB" w:rsidP="003C11CC">
      <w:pPr>
        <w:pStyle w:val="Akapitzlist"/>
        <w:numPr>
          <w:ilvl w:val="2"/>
          <w:numId w:val="3"/>
        </w:numPr>
        <w:spacing w:line="360" w:lineRule="auto"/>
        <w:rPr>
          <w:rFonts w:ascii="Times New Roman" w:hAnsi="Times New Roman" w:cs="Times New Roman"/>
          <w:sz w:val="24"/>
          <w:szCs w:val="24"/>
        </w:rPr>
      </w:pPr>
      <w:r>
        <w:rPr>
          <w:rFonts w:ascii="Times New Roman" w:hAnsi="Times New Roman" w:cs="Times New Roman"/>
          <w:sz w:val="24"/>
          <w:szCs w:val="24"/>
        </w:rPr>
        <w:t>Dystrybucja</w:t>
      </w:r>
    </w:p>
    <w:p w:rsidR="007F0BAB" w:rsidRDefault="007F0BAB" w:rsidP="007F0BAB">
      <w:pPr>
        <w:pStyle w:val="Akapitzlist"/>
        <w:spacing w:line="360" w:lineRule="auto"/>
        <w:ind w:left="0" w:firstLine="360"/>
        <w:rPr>
          <w:rFonts w:ascii="Times New Roman" w:hAnsi="Times New Roman" w:cs="Times New Roman"/>
          <w:sz w:val="24"/>
          <w:szCs w:val="24"/>
        </w:rPr>
      </w:pPr>
      <w:r>
        <w:rPr>
          <w:rFonts w:ascii="Times New Roman" w:hAnsi="Times New Roman" w:cs="Times New Roman"/>
          <w:sz w:val="24"/>
          <w:szCs w:val="24"/>
        </w:rPr>
        <w:t xml:space="preserve">Źródłem poniższych informacji dotyczących dystrybucji są wspomniane ankiety, pomimo małej próbki wydaje się, że wnioski są ciekawe i mogą być rozciągnięte na cały obszar wydawniczy. </w:t>
      </w:r>
    </w:p>
    <w:p w:rsidR="004A59E3" w:rsidRPr="007402A7" w:rsidRDefault="004A59E3" w:rsidP="004A59E3">
      <w:pPr>
        <w:spacing w:after="0" w:line="240" w:lineRule="auto"/>
        <w:ind w:firstLine="360"/>
        <w:rPr>
          <w:rFonts w:ascii="Times New Roman" w:eastAsia="Times New Roman" w:hAnsi="Times New Roman" w:cs="Times New Roman"/>
          <w:b/>
          <w:bCs/>
          <w:sz w:val="24"/>
          <w:szCs w:val="24"/>
          <w:lang w:eastAsia="pl-PL"/>
        </w:rPr>
      </w:pPr>
      <w:r w:rsidRPr="007402A7">
        <w:rPr>
          <w:rFonts w:ascii="Times New Roman" w:eastAsia="Times New Roman" w:hAnsi="Times New Roman" w:cs="Times New Roman"/>
          <w:b/>
          <w:bCs/>
          <w:sz w:val="24"/>
          <w:szCs w:val="24"/>
          <w:lang w:eastAsia="pl-PL"/>
        </w:rPr>
        <w:t>Udział rodzajów dystrybucji w 2011 roku</w:t>
      </w:r>
    </w:p>
    <w:p w:rsidR="004A59E3" w:rsidRDefault="004A59E3" w:rsidP="004A59E3">
      <w:pPr>
        <w:spacing w:after="0" w:line="240" w:lineRule="auto"/>
        <w:ind w:firstLine="360"/>
        <w:rPr>
          <w:rFonts w:ascii="Arial" w:eastAsia="Times New Roman" w:hAnsi="Arial" w:cs="Arial"/>
          <w:b/>
          <w:bCs/>
          <w:sz w:val="20"/>
          <w:szCs w:val="20"/>
          <w:lang w:eastAsia="pl-PL"/>
        </w:rPr>
      </w:pPr>
    </w:p>
    <w:p w:rsidR="004A59E3" w:rsidRPr="004A59E3" w:rsidRDefault="004A59E3" w:rsidP="004A59E3">
      <w:pPr>
        <w:spacing w:after="0" w:line="240" w:lineRule="auto"/>
        <w:ind w:firstLine="360"/>
        <w:rPr>
          <w:rFonts w:ascii="Arial" w:eastAsia="Times New Roman" w:hAnsi="Arial" w:cs="Arial"/>
          <w:b/>
          <w:bCs/>
          <w:sz w:val="20"/>
          <w:szCs w:val="20"/>
          <w:lang w:eastAsia="pl-PL"/>
        </w:rPr>
      </w:pPr>
    </w:p>
    <w:tbl>
      <w:tblPr>
        <w:tblW w:w="3613" w:type="dxa"/>
        <w:tblInd w:w="1630" w:type="dxa"/>
        <w:tblCellMar>
          <w:left w:w="70" w:type="dxa"/>
          <w:right w:w="70" w:type="dxa"/>
        </w:tblCellMar>
        <w:tblLook w:val="04A0" w:firstRow="1" w:lastRow="0" w:firstColumn="1" w:lastColumn="0" w:noHBand="0" w:noVBand="1"/>
      </w:tblPr>
      <w:tblGrid>
        <w:gridCol w:w="2835"/>
        <w:gridCol w:w="778"/>
      </w:tblGrid>
      <w:tr w:rsidR="004A59E3" w:rsidRPr="004A59E3" w:rsidTr="007402A7">
        <w:trPr>
          <w:trHeight w:val="270"/>
        </w:trPr>
        <w:tc>
          <w:tcPr>
            <w:tcW w:w="2835" w:type="dxa"/>
            <w:tcBorders>
              <w:top w:val="single" w:sz="8" w:space="0" w:color="auto"/>
              <w:left w:val="single" w:sz="8" w:space="0" w:color="auto"/>
              <w:bottom w:val="single" w:sz="8" w:space="0" w:color="auto"/>
              <w:right w:val="nil"/>
            </w:tcBorders>
            <w:shd w:val="clear" w:color="auto" w:fill="auto"/>
            <w:noWrap/>
            <w:vAlign w:val="bottom"/>
            <w:hideMark/>
          </w:tcPr>
          <w:p w:rsidR="004A59E3" w:rsidRPr="007402A7" w:rsidRDefault="004A59E3" w:rsidP="004A59E3">
            <w:pPr>
              <w:spacing w:after="0" w:line="240" w:lineRule="auto"/>
              <w:jc w:val="center"/>
              <w:rPr>
                <w:rFonts w:ascii="Times New Roman" w:eastAsia="Times New Roman" w:hAnsi="Times New Roman" w:cs="Times New Roman"/>
                <w:b/>
                <w:bCs/>
                <w:sz w:val="24"/>
                <w:szCs w:val="24"/>
                <w:lang w:eastAsia="pl-PL"/>
              </w:rPr>
            </w:pPr>
            <w:r w:rsidRPr="007402A7">
              <w:rPr>
                <w:rFonts w:ascii="Times New Roman" w:eastAsia="Times New Roman" w:hAnsi="Times New Roman" w:cs="Times New Roman"/>
                <w:b/>
                <w:bCs/>
                <w:sz w:val="24"/>
                <w:szCs w:val="24"/>
                <w:lang w:eastAsia="pl-PL"/>
              </w:rPr>
              <w:t>rok</w:t>
            </w:r>
          </w:p>
        </w:tc>
        <w:tc>
          <w:tcPr>
            <w:tcW w:w="77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A59E3" w:rsidRPr="007402A7" w:rsidRDefault="004A59E3" w:rsidP="004A59E3">
            <w:pPr>
              <w:spacing w:after="0" w:line="240" w:lineRule="auto"/>
              <w:jc w:val="center"/>
              <w:rPr>
                <w:rFonts w:ascii="Times New Roman" w:eastAsia="Times New Roman" w:hAnsi="Times New Roman" w:cs="Times New Roman"/>
                <w:b/>
                <w:bCs/>
                <w:sz w:val="24"/>
                <w:szCs w:val="24"/>
                <w:lang w:eastAsia="pl-PL"/>
              </w:rPr>
            </w:pPr>
            <w:r w:rsidRPr="007402A7">
              <w:rPr>
                <w:rFonts w:ascii="Times New Roman" w:eastAsia="Times New Roman" w:hAnsi="Times New Roman" w:cs="Times New Roman"/>
                <w:b/>
                <w:bCs/>
                <w:sz w:val="24"/>
                <w:szCs w:val="24"/>
                <w:lang w:eastAsia="pl-PL"/>
              </w:rPr>
              <w:t>2011</w:t>
            </w:r>
          </w:p>
        </w:tc>
      </w:tr>
      <w:tr w:rsidR="004A59E3" w:rsidRPr="004A59E3" w:rsidTr="007402A7">
        <w:trPr>
          <w:trHeight w:val="255"/>
        </w:trPr>
        <w:tc>
          <w:tcPr>
            <w:tcW w:w="2835" w:type="dxa"/>
            <w:tcBorders>
              <w:top w:val="nil"/>
              <w:left w:val="single" w:sz="8" w:space="0" w:color="auto"/>
              <w:bottom w:val="nil"/>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sprzedaż własna</w:t>
            </w:r>
          </w:p>
        </w:tc>
        <w:tc>
          <w:tcPr>
            <w:tcW w:w="778" w:type="dxa"/>
            <w:tcBorders>
              <w:top w:val="nil"/>
              <w:left w:val="single" w:sz="4" w:space="0" w:color="auto"/>
              <w:bottom w:val="nil"/>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22%</w:t>
            </w:r>
          </w:p>
        </w:tc>
      </w:tr>
      <w:tr w:rsidR="004A59E3" w:rsidRPr="004A59E3" w:rsidTr="007402A7">
        <w:trPr>
          <w:trHeight w:val="255"/>
        </w:trPr>
        <w:tc>
          <w:tcPr>
            <w:tcW w:w="2835" w:type="dxa"/>
            <w:tcBorders>
              <w:top w:val="nil"/>
              <w:left w:val="single" w:sz="8" w:space="0" w:color="auto"/>
              <w:bottom w:val="nil"/>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księgarnie detaliczne</w:t>
            </w:r>
          </w:p>
        </w:tc>
        <w:tc>
          <w:tcPr>
            <w:tcW w:w="778" w:type="dxa"/>
            <w:tcBorders>
              <w:top w:val="nil"/>
              <w:left w:val="single" w:sz="4" w:space="0" w:color="auto"/>
              <w:bottom w:val="nil"/>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13%</w:t>
            </w:r>
          </w:p>
        </w:tc>
      </w:tr>
      <w:tr w:rsidR="004A59E3" w:rsidRPr="004A59E3" w:rsidTr="007402A7">
        <w:trPr>
          <w:trHeight w:val="255"/>
        </w:trPr>
        <w:tc>
          <w:tcPr>
            <w:tcW w:w="2835" w:type="dxa"/>
            <w:tcBorders>
              <w:top w:val="nil"/>
              <w:left w:val="single" w:sz="8" w:space="0" w:color="auto"/>
              <w:bottom w:val="nil"/>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księgarnie internetowe</w:t>
            </w:r>
          </w:p>
        </w:tc>
        <w:tc>
          <w:tcPr>
            <w:tcW w:w="778" w:type="dxa"/>
            <w:tcBorders>
              <w:top w:val="nil"/>
              <w:left w:val="single" w:sz="4" w:space="0" w:color="auto"/>
              <w:bottom w:val="nil"/>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6%</w:t>
            </w:r>
          </w:p>
        </w:tc>
      </w:tr>
      <w:tr w:rsidR="004A59E3" w:rsidRPr="004A59E3" w:rsidTr="007402A7">
        <w:trPr>
          <w:trHeight w:val="255"/>
        </w:trPr>
        <w:tc>
          <w:tcPr>
            <w:tcW w:w="2835" w:type="dxa"/>
            <w:tcBorders>
              <w:top w:val="nil"/>
              <w:left w:val="single" w:sz="8" w:space="0" w:color="auto"/>
              <w:bottom w:val="nil"/>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największe hurtownie (7)</w:t>
            </w:r>
          </w:p>
        </w:tc>
        <w:tc>
          <w:tcPr>
            <w:tcW w:w="778" w:type="dxa"/>
            <w:tcBorders>
              <w:top w:val="nil"/>
              <w:left w:val="single" w:sz="4" w:space="0" w:color="auto"/>
              <w:bottom w:val="nil"/>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26%</w:t>
            </w:r>
          </w:p>
        </w:tc>
      </w:tr>
      <w:tr w:rsidR="004A59E3" w:rsidRPr="004A59E3" w:rsidTr="007402A7">
        <w:trPr>
          <w:trHeight w:val="255"/>
        </w:trPr>
        <w:tc>
          <w:tcPr>
            <w:tcW w:w="2835" w:type="dxa"/>
            <w:tcBorders>
              <w:top w:val="nil"/>
              <w:left w:val="single" w:sz="8" w:space="0" w:color="auto"/>
              <w:bottom w:val="nil"/>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pozostałe hurtownie</w:t>
            </w:r>
          </w:p>
        </w:tc>
        <w:tc>
          <w:tcPr>
            <w:tcW w:w="778" w:type="dxa"/>
            <w:tcBorders>
              <w:top w:val="nil"/>
              <w:left w:val="single" w:sz="4" w:space="0" w:color="auto"/>
              <w:bottom w:val="nil"/>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25%</w:t>
            </w:r>
          </w:p>
        </w:tc>
      </w:tr>
      <w:tr w:rsidR="004A59E3" w:rsidRPr="004A59E3" w:rsidTr="007402A7">
        <w:trPr>
          <w:trHeight w:val="270"/>
        </w:trPr>
        <w:tc>
          <w:tcPr>
            <w:tcW w:w="2835" w:type="dxa"/>
            <w:tcBorders>
              <w:top w:val="nil"/>
              <w:left w:val="single" w:sz="8" w:space="0" w:color="auto"/>
              <w:bottom w:val="single" w:sz="8" w:space="0" w:color="auto"/>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sprzedaż inna</w:t>
            </w:r>
          </w:p>
        </w:tc>
        <w:tc>
          <w:tcPr>
            <w:tcW w:w="778" w:type="dxa"/>
            <w:tcBorders>
              <w:top w:val="nil"/>
              <w:left w:val="single" w:sz="4" w:space="0" w:color="auto"/>
              <w:bottom w:val="single" w:sz="8" w:space="0" w:color="auto"/>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8%</w:t>
            </w:r>
          </w:p>
        </w:tc>
      </w:tr>
    </w:tbl>
    <w:p w:rsidR="004A59E3" w:rsidRPr="0027212F" w:rsidRDefault="004A59E3" w:rsidP="0027212F">
      <w:pPr>
        <w:spacing w:line="360" w:lineRule="auto"/>
        <w:rPr>
          <w:rFonts w:ascii="Times New Roman" w:hAnsi="Times New Roman" w:cs="Times New Roman"/>
          <w:sz w:val="24"/>
          <w:szCs w:val="24"/>
        </w:rPr>
      </w:pPr>
    </w:p>
    <w:p w:rsidR="004A59E3" w:rsidRDefault="004A59E3" w:rsidP="007F0BAB">
      <w:pPr>
        <w:pStyle w:val="Akapitzlist"/>
        <w:spacing w:line="360" w:lineRule="auto"/>
        <w:ind w:left="0" w:firstLine="360"/>
        <w:rPr>
          <w:rFonts w:ascii="Times New Roman" w:hAnsi="Times New Roman" w:cs="Times New Roman"/>
          <w:sz w:val="24"/>
          <w:szCs w:val="24"/>
        </w:rPr>
      </w:pPr>
      <w:r w:rsidRPr="004A59E3">
        <w:rPr>
          <w:rFonts w:ascii="Times New Roman" w:hAnsi="Times New Roman" w:cs="Times New Roman"/>
          <w:noProof/>
          <w:sz w:val="24"/>
          <w:szCs w:val="24"/>
          <w:lang w:eastAsia="pl-PL"/>
        </w:rPr>
        <w:lastRenderedPageBreak/>
        <w:drawing>
          <wp:inline distT="0" distB="0" distL="0" distR="0">
            <wp:extent cx="4572000" cy="2505075"/>
            <wp:effectExtent l="19050" t="0" r="19050" b="0"/>
            <wp:docPr id="18"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072E" w:rsidRPr="003457D6" w:rsidRDefault="004A59E3" w:rsidP="003457D6">
      <w:pPr>
        <w:pStyle w:val="Akapitzlist"/>
        <w:spacing w:line="360" w:lineRule="auto"/>
        <w:ind w:left="0" w:firstLine="708"/>
        <w:rPr>
          <w:i/>
          <w:iCs/>
        </w:rPr>
      </w:pPr>
      <w:r w:rsidRPr="007F0BAB">
        <w:rPr>
          <w:i/>
          <w:iCs/>
        </w:rPr>
        <w:t>Źródło: opracowanie własne na podstawie danych</w:t>
      </w:r>
      <w:r>
        <w:rPr>
          <w:i/>
          <w:iCs/>
        </w:rPr>
        <w:t xml:space="preserve"> z ankiet wydawniczych</w:t>
      </w:r>
    </w:p>
    <w:p w:rsidR="004A59E3" w:rsidRPr="007402A7" w:rsidRDefault="004A59E3" w:rsidP="004A59E3">
      <w:pPr>
        <w:spacing w:after="0" w:line="240" w:lineRule="auto"/>
        <w:ind w:firstLine="708"/>
        <w:rPr>
          <w:rFonts w:ascii="Times New Roman" w:eastAsia="Times New Roman" w:hAnsi="Times New Roman" w:cs="Times New Roman"/>
          <w:b/>
          <w:bCs/>
          <w:sz w:val="24"/>
          <w:szCs w:val="24"/>
          <w:lang w:eastAsia="pl-PL"/>
        </w:rPr>
      </w:pPr>
      <w:r w:rsidRPr="007402A7">
        <w:rPr>
          <w:rFonts w:ascii="Times New Roman" w:eastAsia="Times New Roman" w:hAnsi="Times New Roman" w:cs="Times New Roman"/>
          <w:b/>
          <w:bCs/>
          <w:sz w:val="24"/>
          <w:szCs w:val="24"/>
          <w:lang w:eastAsia="pl-PL"/>
        </w:rPr>
        <w:t>Udział rodzajów dystrybucji w 2012 roku</w:t>
      </w:r>
    </w:p>
    <w:p w:rsidR="004A59E3" w:rsidRDefault="004A59E3" w:rsidP="004A59E3">
      <w:pPr>
        <w:spacing w:after="0" w:line="240" w:lineRule="auto"/>
        <w:ind w:firstLine="708"/>
        <w:rPr>
          <w:rFonts w:ascii="Arial" w:eastAsia="Times New Roman" w:hAnsi="Arial" w:cs="Arial"/>
          <w:b/>
          <w:bCs/>
          <w:sz w:val="20"/>
          <w:szCs w:val="20"/>
          <w:lang w:eastAsia="pl-PL"/>
        </w:rPr>
      </w:pPr>
    </w:p>
    <w:tbl>
      <w:tblPr>
        <w:tblW w:w="3451" w:type="dxa"/>
        <w:tblInd w:w="2197" w:type="dxa"/>
        <w:tblCellMar>
          <w:left w:w="70" w:type="dxa"/>
          <w:right w:w="70" w:type="dxa"/>
        </w:tblCellMar>
        <w:tblLook w:val="04A0" w:firstRow="1" w:lastRow="0" w:firstColumn="1" w:lastColumn="0" w:noHBand="0" w:noVBand="1"/>
      </w:tblPr>
      <w:tblGrid>
        <w:gridCol w:w="2693"/>
        <w:gridCol w:w="758"/>
      </w:tblGrid>
      <w:tr w:rsidR="004A59E3" w:rsidRPr="004A59E3" w:rsidTr="007402A7">
        <w:trPr>
          <w:trHeight w:val="270"/>
        </w:trPr>
        <w:tc>
          <w:tcPr>
            <w:tcW w:w="2693" w:type="dxa"/>
            <w:tcBorders>
              <w:top w:val="single" w:sz="8" w:space="0" w:color="auto"/>
              <w:left w:val="single" w:sz="8" w:space="0" w:color="auto"/>
              <w:bottom w:val="single" w:sz="8" w:space="0" w:color="auto"/>
              <w:right w:val="nil"/>
            </w:tcBorders>
            <w:shd w:val="clear" w:color="auto" w:fill="auto"/>
            <w:noWrap/>
            <w:vAlign w:val="bottom"/>
            <w:hideMark/>
          </w:tcPr>
          <w:p w:rsidR="004A59E3" w:rsidRPr="007402A7" w:rsidRDefault="004A59E3" w:rsidP="004A59E3">
            <w:pPr>
              <w:spacing w:after="0" w:line="240" w:lineRule="auto"/>
              <w:jc w:val="center"/>
              <w:rPr>
                <w:rFonts w:ascii="Times New Roman" w:eastAsia="Times New Roman" w:hAnsi="Times New Roman" w:cs="Times New Roman"/>
                <w:b/>
                <w:bCs/>
                <w:sz w:val="24"/>
                <w:szCs w:val="24"/>
                <w:lang w:eastAsia="pl-PL"/>
              </w:rPr>
            </w:pPr>
            <w:r w:rsidRPr="007402A7">
              <w:rPr>
                <w:rFonts w:ascii="Times New Roman" w:eastAsia="Times New Roman" w:hAnsi="Times New Roman" w:cs="Times New Roman"/>
                <w:b/>
                <w:bCs/>
                <w:sz w:val="24"/>
                <w:szCs w:val="24"/>
                <w:lang w:eastAsia="pl-PL"/>
              </w:rPr>
              <w:t>rok</w:t>
            </w:r>
          </w:p>
        </w:tc>
        <w:tc>
          <w:tcPr>
            <w:tcW w:w="75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4A59E3" w:rsidRPr="007402A7" w:rsidRDefault="004A59E3" w:rsidP="004A59E3">
            <w:pPr>
              <w:spacing w:after="0" w:line="240" w:lineRule="auto"/>
              <w:jc w:val="center"/>
              <w:rPr>
                <w:rFonts w:ascii="Times New Roman" w:eastAsia="Times New Roman" w:hAnsi="Times New Roman" w:cs="Times New Roman"/>
                <w:b/>
                <w:bCs/>
                <w:sz w:val="24"/>
                <w:szCs w:val="24"/>
                <w:lang w:eastAsia="pl-PL"/>
              </w:rPr>
            </w:pPr>
            <w:r w:rsidRPr="007402A7">
              <w:rPr>
                <w:rFonts w:ascii="Times New Roman" w:eastAsia="Times New Roman" w:hAnsi="Times New Roman" w:cs="Times New Roman"/>
                <w:b/>
                <w:bCs/>
                <w:sz w:val="24"/>
                <w:szCs w:val="24"/>
                <w:lang w:eastAsia="pl-PL"/>
              </w:rPr>
              <w:t>2012</w:t>
            </w:r>
          </w:p>
        </w:tc>
      </w:tr>
      <w:tr w:rsidR="004A59E3" w:rsidRPr="004A59E3" w:rsidTr="007402A7">
        <w:trPr>
          <w:trHeight w:val="255"/>
        </w:trPr>
        <w:tc>
          <w:tcPr>
            <w:tcW w:w="2693" w:type="dxa"/>
            <w:tcBorders>
              <w:top w:val="nil"/>
              <w:left w:val="single" w:sz="8" w:space="0" w:color="auto"/>
              <w:bottom w:val="nil"/>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sprzedaż własna</w:t>
            </w:r>
          </w:p>
        </w:tc>
        <w:tc>
          <w:tcPr>
            <w:tcW w:w="758" w:type="dxa"/>
            <w:tcBorders>
              <w:top w:val="nil"/>
              <w:left w:val="single" w:sz="4" w:space="0" w:color="auto"/>
              <w:bottom w:val="nil"/>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19%</w:t>
            </w:r>
          </w:p>
        </w:tc>
      </w:tr>
      <w:tr w:rsidR="004A59E3" w:rsidRPr="004A59E3" w:rsidTr="007402A7">
        <w:trPr>
          <w:trHeight w:val="255"/>
        </w:trPr>
        <w:tc>
          <w:tcPr>
            <w:tcW w:w="2693" w:type="dxa"/>
            <w:tcBorders>
              <w:top w:val="nil"/>
              <w:left w:val="single" w:sz="8" w:space="0" w:color="auto"/>
              <w:bottom w:val="nil"/>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księgarnie detaliczne</w:t>
            </w:r>
          </w:p>
        </w:tc>
        <w:tc>
          <w:tcPr>
            <w:tcW w:w="758" w:type="dxa"/>
            <w:tcBorders>
              <w:top w:val="nil"/>
              <w:left w:val="single" w:sz="4" w:space="0" w:color="auto"/>
              <w:bottom w:val="nil"/>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11%</w:t>
            </w:r>
          </w:p>
        </w:tc>
      </w:tr>
      <w:tr w:rsidR="004A59E3" w:rsidRPr="004A59E3" w:rsidTr="007402A7">
        <w:trPr>
          <w:trHeight w:val="255"/>
        </w:trPr>
        <w:tc>
          <w:tcPr>
            <w:tcW w:w="2693" w:type="dxa"/>
            <w:tcBorders>
              <w:top w:val="nil"/>
              <w:left w:val="single" w:sz="8" w:space="0" w:color="auto"/>
              <w:bottom w:val="nil"/>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księgarnie internetowe</w:t>
            </w:r>
          </w:p>
        </w:tc>
        <w:tc>
          <w:tcPr>
            <w:tcW w:w="758" w:type="dxa"/>
            <w:tcBorders>
              <w:top w:val="nil"/>
              <w:left w:val="single" w:sz="4" w:space="0" w:color="auto"/>
              <w:bottom w:val="nil"/>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5%</w:t>
            </w:r>
          </w:p>
        </w:tc>
      </w:tr>
      <w:tr w:rsidR="004A59E3" w:rsidRPr="004A59E3" w:rsidTr="007402A7">
        <w:trPr>
          <w:trHeight w:val="255"/>
        </w:trPr>
        <w:tc>
          <w:tcPr>
            <w:tcW w:w="2693" w:type="dxa"/>
            <w:tcBorders>
              <w:top w:val="nil"/>
              <w:left w:val="single" w:sz="8" w:space="0" w:color="auto"/>
              <w:bottom w:val="nil"/>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największe hurtownie (7)</w:t>
            </w:r>
          </w:p>
        </w:tc>
        <w:tc>
          <w:tcPr>
            <w:tcW w:w="758" w:type="dxa"/>
            <w:tcBorders>
              <w:top w:val="nil"/>
              <w:left w:val="single" w:sz="4" w:space="0" w:color="auto"/>
              <w:bottom w:val="nil"/>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31%</w:t>
            </w:r>
          </w:p>
        </w:tc>
      </w:tr>
      <w:tr w:rsidR="004A59E3" w:rsidRPr="004A59E3" w:rsidTr="007402A7">
        <w:trPr>
          <w:trHeight w:val="255"/>
        </w:trPr>
        <w:tc>
          <w:tcPr>
            <w:tcW w:w="2693" w:type="dxa"/>
            <w:tcBorders>
              <w:top w:val="nil"/>
              <w:left w:val="single" w:sz="8" w:space="0" w:color="auto"/>
              <w:bottom w:val="nil"/>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pozostałe hurtownie</w:t>
            </w:r>
          </w:p>
        </w:tc>
        <w:tc>
          <w:tcPr>
            <w:tcW w:w="758" w:type="dxa"/>
            <w:tcBorders>
              <w:top w:val="nil"/>
              <w:left w:val="single" w:sz="4" w:space="0" w:color="auto"/>
              <w:bottom w:val="nil"/>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25%</w:t>
            </w:r>
          </w:p>
        </w:tc>
      </w:tr>
      <w:tr w:rsidR="004A59E3" w:rsidRPr="004A59E3" w:rsidTr="007402A7">
        <w:trPr>
          <w:trHeight w:val="270"/>
        </w:trPr>
        <w:tc>
          <w:tcPr>
            <w:tcW w:w="2693" w:type="dxa"/>
            <w:tcBorders>
              <w:top w:val="nil"/>
              <w:left w:val="single" w:sz="8" w:space="0" w:color="auto"/>
              <w:bottom w:val="single" w:sz="8" w:space="0" w:color="auto"/>
              <w:right w:val="nil"/>
            </w:tcBorders>
            <w:shd w:val="clear" w:color="auto" w:fill="auto"/>
            <w:noWrap/>
            <w:vAlign w:val="bottom"/>
            <w:hideMark/>
          </w:tcPr>
          <w:p w:rsidR="004A59E3" w:rsidRPr="007402A7" w:rsidRDefault="004A59E3" w:rsidP="004A59E3">
            <w:pPr>
              <w:spacing w:after="0" w:line="240" w:lineRule="auto"/>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sprzedaż inna</w:t>
            </w:r>
          </w:p>
        </w:tc>
        <w:tc>
          <w:tcPr>
            <w:tcW w:w="758" w:type="dxa"/>
            <w:tcBorders>
              <w:top w:val="nil"/>
              <w:left w:val="single" w:sz="4" w:space="0" w:color="auto"/>
              <w:bottom w:val="single" w:sz="8" w:space="0" w:color="auto"/>
              <w:right w:val="single" w:sz="8" w:space="0" w:color="auto"/>
            </w:tcBorders>
            <w:shd w:val="clear" w:color="auto" w:fill="auto"/>
            <w:noWrap/>
            <w:vAlign w:val="bottom"/>
            <w:hideMark/>
          </w:tcPr>
          <w:p w:rsidR="004A59E3" w:rsidRPr="007402A7" w:rsidRDefault="004A59E3" w:rsidP="004A59E3">
            <w:pPr>
              <w:spacing w:after="0" w:line="240" w:lineRule="auto"/>
              <w:jc w:val="right"/>
              <w:rPr>
                <w:rFonts w:ascii="Times New Roman" w:eastAsia="Times New Roman" w:hAnsi="Times New Roman" w:cs="Times New Roman"/>
                <w:sz w:val="24"/>
                <w:szCs w:val="24"/>
                <w:lang w:eastAsia="pl-PL"/>
              </w:rPr>
            </w:pPr>
            <w:r w:rsidRPr="007402A7">
              <w:rPr>
                <w:rFonts w:ascii="Times New Roman" w:eastAsia="Times New Roman" w:hAnsi="Times New Roman" w:cs="Times New Roman"/>
                <w:sz w:val="24"/>
                <w:szCs w:val="24"/>
                <w:lang w:eastAsia="pl-PL"/>
              </w:rPr>
              <w:t>9%</w:t>
            </w:r>
          </w:p>
        </w:tc>
      </w:tr>
    </w:tbl>
    <w:p w:rsidR="004A59E3" w:rsidRDefault="004A59E3" w:rsidP="004A59E3">
      <w:pPr>
        <w:spacing w:after="0" w:line="240" w:lineRule="auto"/>
        <w:ind w:firstLine="708"/>
        <w:rPr>
          <w:rFonts w:ascii="Arial" w:eastAsia="Times New Roman" w:hAnsi="Arial" w:cs="Arial"/>
          <w:b/>
          <w:bCs/>
          <w:sz w:val="20"/>
          <w:szCs w:val="20"/>
          <w:lang w:eastAsia="pl-PL"/>
        </w:rPr>
      </w:pPr>
    </w:p>
    <w:p w:rsidR="007402A7" w:rsidRDefault="007402A7" w:rsidP="004A59E3">
      <w:pPr>
        <w:spacing w:after="0" w:line="240" w:lineRule="auto"/>
        <w:ind w:firstLine="708"/>
        <w:rPr>
          <w:rFonts w:ascii="Arial" w:eastAsia="Times New Roman" w:hAnsi="Arial" w:cs="Arial"/>
          <w:b/>
          <w:bCs/>
          <w:sz w:val="20"/>
          <w:szCs w:val="20"/>
          <w:lang w:eastAsia="pl-PL"/>
        </w:rPr>
      </w:pPr>
    </w:p>
    <w:p w:rsidR="007402A7" w:rsidRPr="004A59E3" w:rsidRDefault="007402A7" w:rsidP="004A59E3">
      <w:pPr>
        <w:spacing w:after="0" w:line="240" w:lineRule="auto"/>
        <w:ind w:firstLine="708"/>
        <w:rPr>
          <w:rFonts w:ascii="Arial" w:eastAsia="Times New Roman" w:hAnsi="Arial" w:cs="Arial"/>
          <w:b/>
          <w:bCs/>
          <w:sz w:val="20"/>
          <w:szCs w:val="20"/>
          <w:lang w:eastAsia="pl-PL"/>
        </w:rPr>
      </w:pPr>
    </w:p>
    <w:p w:rsidR="004A59E3" w:rsidRDefault="004A59E3" w:rsidP="004A59E3">
      <w:pPr>
        <w:pStyle w:val="Akapitzlist"/>
        <w:spacing w:line="360" w:lineRule="auto"/>
        <w:ind w:left="0" w:firstLine="708"/>
        <w:rPr>
          <w:i/>
          <w:iCs/>
        </w:rPr>
      </w:pPr>
      <w:r w:rsidRPr="004A59E3">
        <w:rPr>
          <w:i/>
          <w:iCs/>
          <w:noProof/>
          <w:lang w:eastAsia="pl-PL"/>
        </w:rPr>
        <w:drawing>
          <wp:inline distT="0" distB="0" distL="0" distR="0">
            <wp:extent cx="4327319" cy="2256312"/>
            <wp:effectExtent l="19050" t="0" r="16081" b="0"/>
            <wp:docPr id="19"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A59E3" w:rsidRDefault="004A59E3" w:rsidP="004A59E3">
      <w:pPr>
        <w:pStyle w:val="Akapitzlist"/>
        <w:spacing w:line="360" w:lineRule="auto"/>
        <w:ind w:left="0" w:firstLine="708"/>
        <w:rPr>
          <w:i/>
          <w:iCs/>
        </w:rPr>
      </w:pPr>
      <w:r w:rsidRPr="007F0BAB">
        <w:rPr>
          <w:i/>
          <w:iCs/>
        </w:rPr>
        <w:t>Źródło: opracowanie własne na podstawie danych</w:t>
      </w:r>
      <w:r>
        <w:rPr>
          <w:i/>
          <w:iCs/>
        </w:rPr>
        <w:t xml:space="preserve"> z ankiet wydawniczych</w:t>
      </w:r>
      <w:r w:rsidR="00FE159B">
        <w:rPr>
          <w:i/>
          <w:iCs/>
        </w:rPr>
        <w:t>.</w:t>
      </w:r>
    </w:p>
    <w:p w:rsidR="007402A7" w:rsidRPr="003457D6" w:rsidRDefault="004A59E3" w:rsidP="003457D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Najwięcej książek jest dystrybuowanych pr</w:t>
      </w:r>
      <w:r w:rsidR="00396F0C">
        <w:rPr>
          <w:rFonts w:ascii="Times New Roman" w:hAnsi="Times New Roman" w:cs="Times New Roman"/>
          <w:sz w:val="24"/>
          <w:szCs w:val="24"/>
        </w:rPr>
        <w:t>ze</w:t>
      </w:r>
      <w:r w:rsidR="0027212F">
        <w:rPr>
          <w:rFonts w:ascii="Times New Roman" w:hAnsi="Times New Roman" w:cs="Times New Roman"/>
          <w:sz w:val="24"/>
          <w:szCs w:val="24"/>
        </w:rPr>
        <w:t>z</w:t>
      </w:r>
      <w:r w:rsidR="00396F0C">
        <w:rPr>
          <w:rFonts w:ascii="Times New Roman" w:hAnsi="Times New Roman" w:cs="Times New Roman"/>
          <w:sz w:val="24"/>
          <w:szCs w:val="24"/>
        </w:rPr>
        <w:t xml:space="preserve"> siedem największych hurtowni</w:t>
      </w:r>
      <w:r w:rsidR="0027212F">
        <w:rPr>
          <w:rFonts w:ascii="Times New Roman" w:hAnsi="Times New Roman" w:cs="Times New Roman"/>
          <w:sz w:val="24"/>
          <w:szCs w:val="24"/>
        </w:rPr>
        <w:t xml:space="preserve">, </w:t>
      </w:r>
      <w:r>
        <w:rPr>
          <w:rFonts w:ascii="Times New Roman" w:hAnsi="Times New Roman" w:cs="Times New Roman"/>
          <w:sz w:val="24"/>
          <w:szCs w:val="24"/>
        </w:rPr>
        <w:t>porównując rok 2012 do roku 2011 ich udział rośnie. Udział poz</w:t>
      </w:r>
      <w:r w:rsidR="00BC21DA">
        <w:rPr>
          <w:rFonts w:ascii="Times New Roman" w:hAnsi="Times New Roman" w:cs="Times New Roman"/>
          <w:sz w:val="24"/>
          <w:szCs w:val="24"/>
        </w:rPr>
        <w:t>ostałych hurtowni wynosi ok. 25 proc.</w:t>
      </w:r>
      <w:r>
        <w:rPr>
          <w:rFonts w:ascii="Times New Roman" w:hAnsi="Times New Roman" w:cs="Times New Roman"/>
          <w:sz w:val="24"/>
          <w:szCs w:val="24"/>
        </w:rPr>
        <w:t xml:space="preserve"> pozostaj</w:t>
      </w:r>
      <w:r w:rsidR="00396F0C">
        <w:rPr>
          <w:rFonts w:ascii="Times New Roman" w:hAnsi="Times New Roman" w:cs="Times New Roman"/>
          <w:sz w:val="24"/>
          <w:szCs w:val="24"/>
        </w:rPr>
        <w:t>ąc</w:t>
      </w:r>
      <w:r>
        <w:rPr>
          <w:rFonts w:ascii="Times New Roman" w:hAnsi="Times New Roman" w:cs="Times New Roman"/>
          <w:sz w:val="24"/>
          <w:szCs w:val="24"/>
        </w:rPr>
        <w:t xml:space="preserve"> na niezmienionym poziomie, łącznie hurtowni</w:t>
      </w:r>
      <w:r w:rsidR="00BC21DA">
        <w:rPr>
          <w:rFonts w:ascii="Times New Roman" w:hAnsi="Times New Roman" w:cs="Times New Roman"/>
          <w:sz w:val="24"/>
          <w:szCs w:val="24"/>
        </w:rPr>
        <w:t>e dystrybuują ponad 50 proc.</w:t>
      </w:r>
      <w:r w:rsidR="00396F0C">
        <w:rPr>
          <w:rFonts w:ascii="Times New Roman" w:hAnsi="Times New Roman" w:cs="Times New Roman"/>
          <w:sz w:val="24"/>
          <w:szCs w:val="24"/>
        </w:rPr>
        <w:t xml:space="preserve"> książek. Znaczący udział w dystrybucji mają własne kanały wydawnicze</w:t>
      </w:r>
      <w:r w:rsidR="009105C7">
        <w:rPr>
          <w:rFonts w:ascii="Times New Roman" w:hAnsi="Times New Roman" w:cs="Times New Roman"/>
          <w:sz w:val="24"/>
          <w:szCs w:val="24"/>
        </w:rPr>
        <w:t>,</w:t>
      </w:r>
      <w:r w:rsidR="00396F0C">
        <w:rPr>
          <w:rFonts w:ascii="Times New Roman" w:hAnsi="Times New Roman" w:cs="Times New Roman"/>
          <w:sz w:val="24"/>
          <w:szCs w:val="24"/>
        </w:rPr>
        <w:t xml:space="preserve"> przez które sprz</w:t>
      </w:r>
      <w:r w:rsidR="00BC21DA">
        <w:rPr>
          <w:rFonts w:ascii="Times New Roman" w:hAnsi="Times New Roman" w:cs="Times New Roman"/>
          <w:sz w:val="24"/>
          <w:szCs w:val="24"/>
        </w:rPr>
        <w:t>edawane jest ok. 20 proc.</w:t>
      </w:r>
      <w:r w:rsidR="00396F0C">
        <w:rPr>
          <w:rFonts w:ascii="Times New Roman" w:hAnsi="Times New Roman" w:cs="Times New Roman"/>
          <w:sz w:val="24"/>
          <w:szCs w:val="24"/>
        </w:rPr>
        <w:t xml:space="preserve"> książek.</w:t>
      </w:r>
    </w:p>
    <w:p w:rsidR="00396F0C" w:rsidRDefault="00396F0C" w:rsidP="00396F0C">
      <w:pPr>
        <w:pStyle w:val="Akapitzlist"/>
        <w:spacing w:line="360" w:lineRule="auto"/>
        <w:ind w:left="0" w:firstLine="360"/>
        <w:rPr>
          <w:rFonts w:ascii="Times New Roman" w:hAnsi="Times New Roman" w:cs="Times New Roman"/>
          <w:sz w:val="24"/>
          <w:szCs w:val="24"/>
        </w:rPr>
      </w:pPr>
      <w:r>
        <w:rPr>
          <w:rFonts w:ascii="Times New Roman" w:hAnsi="Times New Roman" w:cs="Times New Roman"/>
          <w:sz w:val="24"/>
          <w:szCs w:val="24"/>
        </w:rPr>
        <w:t>Pytanie w ankiecie dotyczące oceny terminowego regulowania zobowiązań ustaliło następującą kolejność:</w:t>
      </w:r>
    </w:p>
    <w:p w:rsidR="00396F0C" w:rsidRDefault="00396F0C" w:rsidP="00396F0C">
      <w:pPr>
        <w:pStyle w:val="Akapitzlist"/>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Dystrybucja poza branżowa</w:t>
      </w:r>
      <w:r w:rsidR="005617BC">
        <w:rPr>
          <w:rFonts w:ascii="Times New Roman" w:hAnsi="Times New Roman" w:cs="Times New Roman"/>
          <w:sz w:val="24"/>
          <w:szCs w:val="24"/>
        </w:rPr>
        <w:t xml:space="preserve"> (inna)</w:t>
      </w:r>
    </w:p>
    <w:p w:rsidR="00396F0C" w:rsidRDefault="00396F0C" w:rsidP="00396F0C">
      <w:pPr>
        <w:pStyle w:val="Akapitzlist"/>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Księgarnie internetowe</w:t>
      </w:r>
    </w:p>
    <w:p w:rsidR="00396F0C" w:rsidRDefault="00396F0C" w:rsidP="00396F0C">
      <w:pPr>
        <w:pStyle w:val="Akapitzlist"/>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Największe hurtownie (7)</w:t>
      </w:r>
    </w:p>
    <w:p w:rsidR="00396F0C" w:rsidRDefault="00396F0C" w:rsidP="00396F0C">
      <w:pPr>
        <w:pStyle w:val="Akapitzlist"/>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Pozostałe hurtownie</w:t>
      </w:r>
    </w:p>
    <w:p w:rsidR="00396F0C" w:rsidRDefault="00396F0C" w:rsidP="00396F0C">
      <w:pPr>
        <w:pStyle w:val="Akapitzlist"/>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Księgarnie detaliczne</w:t>
      </w:r>
    </w:p>
    <w:p w:rsidR="00396F0C" w:rsidRPr="00396F0C" w:rsidRDefault="00396F0C" w:rsidP="00396F0C">
      <w:pPr>
        <w:spacing w:after="0" w:line="360" w:lineRule="auto"/>
        <w:rPr>
          <w:rFonts w:ascii="Times New Roman" w:hAnsi="Times New Roman" w:cs="Times New Roman"/>
          <w:sz w:val="24"/>
          <w:szCs w:val="24"/>
        </w:rPr>
      </w:pPr>
    </w:p>
    <w:p w:rsidR="00396F0C" w:rsidRDefault="005617BC"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Ocena terminowości płatności w </w:t>
      </w:r>
      <w:r w:rsidR="00396F0C">
        <w:rPr>
          <w:rFonts w:ascii="Times New Roman" w:hAnsi="Times New Roman" w:cs="Times New Roman"/>
          <w:sz w:val="24"/>
          <w:szCs w:val="24"/>
        </w:rPr>
        <w:t>rok</w:t>
      </w:r>
      <w:r>
        <w:rPr>
          <w:rFonts w:ascii="Times New Roman" w:hAnsi="Times New Roman" w:cs="Times New Roman"/>
          <w:sz w:val="24"/>
          <w:szCs w:val="24"/>
        </w:rPr>
        <w:t>u 2012</w:t>
      </w:r>
      <w:r w:rsidR="00396F0C">
        <w:rPr>
          <w:rFonts w:ascii="Times New Roman" w:hAnsi="Times New Roman" w:cs="Times New Roman"/>
          <w:sz w:val="24"/>
          <w:szCs w:val="24"/>
        </w:rPr>
        <w:t xml:space="preserve"> do roku </w:t>
      </w:r>
      <w:r>
        <w:rPr>
          <w:rFonts w:ascii="Times New Roman" w:hAnsi="Times New Roman" w:cs="Times New Roman"/>
          <w:sz w:val="24"/>
          <w:szCs w:val="24"/>
        </w:rPr>
        <w:t xml:space="preserve">2011 </w:t>
      </w:r>
      <w:r w:rsidR="00396F0C">
        <w:rPr>
          <w:rFonts w:ascii="Times New Roman" w:hAnsi="Times New Roman" w:cs="Times New Roman"/>
          <w:sz w:val="24"/>
          <w:szCs w:val="24"/>
        </w:rPr>
        <w:t>pokazuj</w:t>
      </w:r>
      <w:r>
        <w:rPr>
          <w:rFonts w:ascii="Times New Roman" w:hAnsi="Times New Roman" w:cs="Times New Roman"/>
          <w:sz w:val="24"/>
          <w:szCs w:val="24"/>
        </w:rPr>
        <w:t>e</w:t>
      </w:r>
      <w:r w:rsidR="00396F0C">
        <w:rPr>
          <w:rFonts w:ascii="Times New Roman" w:hAnsi="Times New Roman" w:cs="Times New Roman"/>
          <w:sz w:val="24"/>
          <w:szCs w:val="24"/>
        </w:rPr>
        <w:t xml:space="preserve">, że dla dystrybucji poza branżą oraz </w:t>
      </w:r>
      <w:r>
        <w:rPr>
          <w:rFonts w:ascii="Times New Roman" w:hAnsi="Times New Roman" w:cs="Times New Roman"/>
          <w:sz w:val="24"/>
          <w:szCs w:val="24"/>
        </w:rPr>
        <w:t>dla największych hurtowni pozostaje ona bez zmian, natomiast pozostałe rodzaje dystrybucji są oceniane gorzej.</w:t>
      </w:r>
    </w:p>
    <w:p w:rsidR="003457D6" w:rsidRDefault="003457D6" w:rsidP="00BC21DA">
      <w:pPr>
        <w:pStyle w:val="Akapitzlist"/>
        <w:spacing w:line="360" w:lineRule="auto"/>
        <w:ind w:left="0" w:firstLine="360"/>
        <w:jc w:val="both"/>
        <w:rPr>
          <w:rFonts w:ascii="Times New Roman" w:hAnsi="Times New Roman" w:cs="Times New Roman"/>
          <w:sz w:val="24"/>
          <w:szCs w:val="24"/>
        </w:rPr>
      </w:pPr>
    </w:p>
    <w:p w:rsidR="003457D6" w:rsidRDefault="003457D6" w:rsidP="00BC21DA">
      <w:pPr>
        <w:pStyle w:val="Akapitzlist"/>
        <w:spacing w:line="360" w:lineRule="auto"/>
        <w:ind w:left="0" w:firstLine="360"/>
        <w:jc w:val="both"/>
        <w:rPr>
          <w:rFonts w:ascii="Times New Roman" w:hAnsi="Times New Roman" w:cs="Times New Roman"/>
          <w:sz w:val="24"/>
          <w:szCs w:val="24"/>
        </w:rPr>
      </w:pPr>
    </w:p>
    <w:p w:rsidR="003457D6" w:rsidRDefault="003457D6" w:rsidP="00BC21DA">
      <w:pPr>
        <w:pStyle w:val="Akapitzlist"/>
        <w:spacing w:line="360" w:lineRule="auto"/>
        <w:ind w:left="0" w:firstLine="360"/>
        <w:jc w:val="both"/>
        <w:rPr>
          <w:rFonts w:ascii="Times New Roman" w:hAnsi="Times New Roman" w:cs="Times New Roman"/>
          <w:sz w:val="24"/>
          <w:szCs w:val="24"/>
        </w:rPr>
      </w:pPr>
    </w:p>
    <w:p w:rsidR="003457D6" w:rsidRDefault="003457D6" w:rsidP="00BC21DA">
      <w:pPr>
        <w:pStyle w:val="Akapitzlist"/>
        <w:spacing w:line="360" w:lineRule="auto"/>
        <w:ind w:left="0" w:firstLine="360"/>
        <w:jc w:val="both"/>
        <w:rPr>
          <w:rFonts w:ascii="Times New Roman" w:hAnsi="Times New Roman" w:cs="Times New Roman"/>
          <w:sz w:val="24"/>
          <w:szCs w:val="24"/>
        </w:rPr>
      </w:pPr>
    </w:p>
    <w:p w:rsidR="003457D6" w:rsidRDefault="003457D6" w:rsidP="00BC21DA">
      <w:pPr>
        <w:pStyle w:val="Akapitzlist"/>
        <w:spacing w:line="360" w:lineRule="auto"/>
        <w:ind w:left="0" w:firstLine="360"/>
        <w:jc w:val="both"/>
        <w:rPr>
          <w:rFonts w:ascii="Times New Roman" w:hAnsi="Times New Roman" w:cs="Times New Roman"/>
          <w:sz w:val="24"/>
          <w:szCs w:val="24"/>
        </w:rPr>
      </w:pPr>
    </w:p>
    <w:p w:rsidR="003457D6" w:rsidRDefault="003457D6" w:rsidP="00BC21DA">
      <w:pPr>
        <w:pStyle w:val="Akapitzlist"/>
        <w:spacing w:line="360" w:lineRule="auto"/>
        <w:ind w:left="0" w:firstLine="360"/>
        <w:jc w:val="both"/>
        <w:rPr>
          <w:rFonts w:ascii="Times New Roman" w:hAnsi="Times New Roman" w:cs="Times New Roman"/>
          <w:sz w:val="24"/>
          <w:szCs w:val="24"/>
        </w:rPr>
      </w:pPr>
    </w:p>
    <w:p w:rsidR="003457D6" w:rsidRDefault="003457D6" w:rsidP="00BC21DA">
      <w:pPr>
        <w:pStyle w:val="Akapitzlist"/>
        <w:spacing w:line="360" w:lineRule="auto"/>
        <w:ind w:left="0" w:firstLine="360"/>
        <w:jc w:val="both"/>
        <w:rPr>
          <w:rFonts w:ascii="Times New Roman" w:hAnsi="Times New Roman" w:cs="Times New Roman"/>
          <w:sz w:val="24"/>
          <w:szCs w:val="24"/>
        </w:rPr>
      </w:pPr>
    </w:p>
    <w:p w:rsidR="00FE159B" w:rsidRDefault="00FE159B" w:rsidP="00BC21DA">
      <w:pPr>
        <w:pStyle w:val="Akapitzlist"/>
        <w:spacing w:line="360" w:lineRule="auto"/>
        <w:ind w:left="0" w:firstLine="360"/>
        <w:jc w:val="both"/>
        <w:rPr>
          <w:rFonts w:ascii="Times New Roman" w:hAnsi="Times New Roman" w:cs="Times New Roman"/>
          <w:sz w:val="24"/>
          <w:szCs w:val="24"/>
        </w:rPr>
      </w:pPr>
    </w:p>
    <w:p w:rsidR="003457D6" w:rsidRDefault="003457D6" w:rsidP="00BC21DA">
      <w:pPr>
        <w:pStyle w:val="Akapitzlist"/>
        <w:spacing w:line="360" w:lineRule="auto"/>
        <w:ind w:left="0" w:firstLine="360"/>
        <w:jc w:val="both"/>
        <w:rPr>
          <w:rFonts w:ascii="Times New Roman" w:hAnsi="Times New Roman" w:cs="Times New Roman"/>
          <w:sz w:val="24"/>
          <w:szCs w:val="24"/>
        </w:rPr>
      </w:pPr>
    </w:p>
    <w:p w:rsidR="003457D6" w:rsidRPr="00396F0C" w:rsidRDefault="003457D6" w:rsidP="00BC21DA">
      <w:pPr>
        <w:pStyle w:val="Akapitzlist"/>
        <w:spacing w:line="360" w:lineRule="auto"/>
        <w:ind w:left="0" w:firstLine="360"/>
        <w:jc w:val="both"/>
        <w:rPr>
          <w:rFonts w:ascii="Times New Roman" w:hAnsi="Times New Roman" w:cs="Times New Roman"/>
          <w:sz w:val="24"/>
          <w:szCs w:val="24"/>
        </w:rPr>
      </w:pPr>
    </w:p>
    <w:p w:rsidR="00B72C0C" w:rsidRPr="00792BF8" w:rsidRDefault="00B72C0C" w:rsidP="00BC21DA">
      <w:pPr>
        <w:pStyle w:val="Akapitzlist"/>
        <w:numPr>
          <w:ilvl w:val="2"/>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Podsumowanie sytuacji </w:t>
      </w:r>
      <w:r w:rsidR="00D2320C">
        <w:rPr>
          <w:rFonts w:ascii="Times New Roman" w:hAnsi="Times New Roman" w:cs="Times New Roman"/>
          <w:sz w:val="24"/>
          <w:szCs w:val="24"/>
        </w:rPr>
        <w:t>polskich wydawnictw</w:t>
      </w:r>
    </w:p>
    <w:p w:rsidR="00DD4395" w:rsidRDefault="00F156FE"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Podsumowanie najczęściej jest przyrównywaniem do pewnego wzorca, tutaj przyjęto sytuację wydawnictw przed rokiem 1989 wykorzystując metodę Krytycznych Czynników Sukcesu (KCS)</w:t>
      </w:r>
      <w:r w:rsidR="00330772">
        <w:rPr>
          <w:rFonts w:ascii="Times New Roman" w:hAnsi="Times New Roman" w:cs="Times New Roman"/>
          <w:sz w:val="24"/>
          <w:szCs w:val="24"/>
        </w:rPr>
        <w:t>.</w:t>
      </w:r>
    </w:p>
    <w:p w:rsidR="00F156FE" w:rsidRPr="007402A7" w:rsidRDefault="00F156FE" w:rsidP="00F156FE">
      <w:pPr>
        <w:spacing w:after="0" w:line="240" w:lineRule="auto"/>
        <w:ind w:firstLine="360"/>
        <w:rPr>
          <w:rFonts w:ascii="Times New Roman" w:eastAsia="Times New Roman" w:hAnsi="Times New Roman" w:cs="Times New Roman"/>
          <w:b/>
          <w:bCs/>
          <w:sz w:val="24"/>
          <w:szCs w:val="24"/>
          <w:lang w:eastAsia="pl-PL"/>
        </w:rPr>
      </w:pPr>
      <w:r w:rsidRPr="007402A7">
        <w:rPr>
          <w:rFonts w:ascii="Times New Roman" w:eastAsia="Times New Roman" w:hAnsi="Times New Roman" w:cs="Times New Roman"/>
          <w:b/>
          <w:bCs/>
          <w:sz w:val="24"/>
          <w:szCs w:val="24"/>
          <w:lang w:eastAsia="pl-PL"/>
        </w:rPr>
        <w:t xml:space="preserve">Porównanie polskich wydawnictw przed 1989 i w 2012 </w:t>
      </w:r>
      <w:r w:rsidR="00FE159B">
        <w:rPr>
          <w:rFonts w:ascii="Times New Roman" w:eastAsia="Times New Roman" w:hAnsi="Times New Roman" w:cs="Times New Roman"/>
          <w:b/>
          <w:bCs/>
          <w:sz w:val="24"/>
          <w:szCs w:val="24"/>
          <w:lang w:eastAsia="pl-PL"/>
        </w:rPr>
        <w:t xml:space="preserve">roku </w:t>
      </w:r>
      <w:r w:rsidRPr="007402A7">
        <w:rPr>
          <w:rFonts w:ascii="Times New Roman" w:eastAsia="Times New Roman" w:hAnsi="Times New Roman" w:cs="Times New Roman"/>
          <w:b/>
          <w:bCs/>
          <w:sz w:val="24"/>
          <w:szCs w:val="24"/>
          <w:lang w:eastAsia="pl-PL"/>
        </w:rPr>
        <w:t>metodą KCS</w:t>
      </w:r>
    </w:p>
    <w:p w:rsidR="00A50DDF" w:rsidRPr="00A50DDF" w:rsidRDefault="00A50DDF" w:rsidP="00A50DDF">
      <w:pPr>
        <w:spacing w:after="0" w:line="240" w:lineRule="auto"/>
        <w:rPr>
          <w:rFonts w:ascii="Arial" w:eastAsia="Times New Roman" w:hAnsi="Arial" w:cs="Arial"/>
          <w:b/>
          <w:bCs/>
          <w:sz w:val="20"/>
          <w:szCs w:val="20"/>
          <w:lang w:eastAsia="pl-PL"/>
        </w:rPr>
      </w:pPr>
    </w:p>
    <w:tbl>
      <w:tblPr>
        <w:tblW w:w="10403" w:type="dxa"/>
        <w:tblInd w:w="-655" w:type="dxa"/>
        <w:tblCellMar>
          <w:left w:w="70" w:type="dxa"/>
          <w:right w:w="70" w:type="dxa"/>
        </w:tblCellMar>
        <w:tblLook w:val="04A0" w:firstRow="1" w:lastRow="0" w:firstColumn="1" w:lastColumn="0" w:noHBand="0" w:noVBand="1"/>
      </w:tblPr>
      <w:tblGrid>
        <w:gridCol w:w="363"/>
        <w:gridCol w:w="3640"/>
        <w:gridCol w:w="640"/>
        <w:gridCol w:w="1720"/>
        <w:gridCol w:w="1060"/>
        <w:gridCol w:w="960"/>
        <w:gridCol w:w="1060"/>
        <w:gridCol w:w="960"/>
      </w:tblGrid>
      <w:tr w:rsidR="00427F31" w:rsidRPr="00427F31" w:rsidTr="00BC21DA">
        <w:trPr>
          <w:trHeight w:val="1035"/>
        </w:trPr>
        <w:tc>
          <w:tcPr>
            <w:tcW w:w="363" w:type="dxa"/>
            <w:tcBorders>
              <w:top w:val="single" w:sz="8" w:space="0" w:color="auto"/>
              <w:left w:val="single" w:sz="8" w:space="0" w:color="auto"/>
              <w:bottom w:val="single" w:sz="8" w:space="0" w:color="auto"/>
              <w:right w:val="nil"/>
            </w:tcBorders>
            <w:shd w:val="clear" w:color="auto" w:fill="auto"/>
            <w:vAlign w:val="bottom"/>
            <w:hideMark/>
          </w:tcPr>
          <w:p w:rsidR="00427F31" w:rsidRPr="00427F31" w:rsidRDefault="00427F31" w:rsidP="00427F31">
            <w:pPr>
              <w:spacing w:after="0" w:line="240" w:lineRule="auto"/>
              <w:jc w:val="center"/>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Lp</w:t>
            </w:r>
          </w:p>
        </w:tc>
        <w:tc>
          <w:tcPr>
            <w:tcW w:w="3640" w:type="dxa"/>
            <w:tcBorders>
              <w:top w:val="single" w:sz="8" w:space="0" w:color="auto"/>
              <w:left w:val="single" w:sz="4" w:space="0" w:color="auto"/>
              <w:bottom w:val="single" w:sz="8" w:space="0" w:color="auto"/>
              <w:right w:val="nil"/>
            </w:tcBorders>
            <w:shd w:val="clear" w:color="auto" w:fill="auto"/>
            <w:vAlign w:val="bottom"/>
            <w:hideMark/>
          </w:tcPr>
          <w:p w:rsidR="00427F31" w:rsidRPr="00427F31" w:rsidRDefault="00427F31" w:rsidP="00427F31">
            <w:pPr>
              <w:spacing w:after="0" w:line="240" w:lineRule="auto"/>
              <w:jc w:val="center"/>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Kluczowy czynnik sukcesu</w:t>
            </w:r>
          </w:p>
        </w:tc>
        <w:tc>
          <w:tcPr>
            <w:tcW w:w="640" w:type="dxa"/>
            <w:tcBorders>
              <w:top w:val="single" w:sz="8" w:space="0" w:color="auto"/>
              <w:left w:val="single" w:sz="4" w:space="0" w:color="auto"/>
              <w:bottom w:val="single" w:sz="8" w:space="0" w:color="auto"/>
              <w:right w:val="nil"/>
            </w:tcBorders>
            <w:shd w:val="clear" w:color="auto" w:fill="auto"/>
            <w:vAlign w:val="bottom"/>
            <w:hideMark/>
          </w:tcPr>
          <w:p w:rsidR="00427F31" w:rsidRPr="00427F31" w:rsidRDefault="00427F31" w:rsidP="00427F31">
            <w:pPr>
              <w:spacing w:after="0" w:line="240" w:lineRule="auto"/>
              <w:jc w:val="center"/>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Waga</w:t>
            </w:r>
          </w:p>
        </w:tc>
        <w:tc>
          <w:tcPr>
            <w:tcW w:w="172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427F31" w:rsidRPr="00427F31" w:rsidRDefault="00427F31" w:rsidP="00427F31">
            <w:pPr>
              <w:spacing w:after="0" w:line="240" w:lineRule="auto"/>
              <w:jc w:val="center"/>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Kierunek oceny</w:t>
            </w:r>
          </w:p>
        </w:tc>
        <w:tc>
          <w:tcPr>
            <w:tcW w:w="1060" w:type="dxa"/>
            <w:tcBorders>
              <w:top w:val="single" w:sz="8" w:space="0" w:color="auto"/>
              <w:left w:val="nil"/>
              <w:bottom w:val="single" w:sz="8" w:space="0" w:color="auto"/>
              <w:right w:val="nil"/>
            </w:tcBorders>
            <w:shd w:val="clear" w:color="auto" w:fill="auto"/>
            <w:vAlign w:val="bottom"/>
            <w:hideMark/>
          </w:tcPr>
          <w:p w:rsidR="00427F31" w:rsidRPr="00427F31" w:rsidRDefault="00427F31" w:rsidP="00427F31">
            <w:pPr>
              <w:spacing w:after="0" w:line="240" w:lineRule="auto"/>
              <w:jc w:val="center"/>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Ocena przed 1989 rokiem</w:t>
            </w:r>
          </w:p>
        </w:tc>
        <w:tc>
          <w:tcPr>
            <w:tcW w:w="960" w:type="dxa"/>
            <w:tcBorders>
              <w:top w:val="single" w:sz="8" w:space="0" w:color="auto"/>
              <w:left w:val="single" w:sz="4" w:space="0" w:color="auto"/>
              <w:bottom w:val="single" w:sz="8" w:space="0" w:color="auto"/>
              <w:right w:val="nil"/>
            </w:tcBorders>
            <w:shd w:val="clear" w:color="auto" w:fill="auto"/>
            <w:vAlign w:val="bottom"/>
            <w:hideMark/>
          </w:tcPr>
          <w:p w:rsidR="00427F31" w:rsidRPr="00427F31" w:rsidRDefault="00427F31" w:rsidP="00427F31">
            <w:pPr>
              <w:spacing w:after="0" w:line="240" w:lineRule="auto"/>
              <w:jc w:val="center"/>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Wynik przed 1989 rokiem</w:t>
            </w:r>
          </w:p>
        </w:tc>
        <w:tc>
          <w:tcPr>
            <w:tcW w:w="10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427F31" w:rsidRPr="00427F31" w:rsidRDefault="00427F31" w:rsidP="00427F31">
            <w:pPr>
              <w:spacing w:after="0" w:line="240" w:lineRule="auto"/>
              <w:jc w:val="center"/>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Ocena w 2012 roku</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427F31" w:rsidRPr="00427F31" w:rsidRDefault="00427F31" w:rsidP="00427F31">
            <w:pPr>
              <w:spacing w:after="0" w:line="240" w:lineRule="auto"/>
              <w:jc w:val="center"/>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Wynik w 2012 roku</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1</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Efektywność kanałów dystrybucji</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0,12</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wysoka - wysoko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4</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0,48</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3</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0,36</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2</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Wysokość rabatów dystrybucji</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0,11</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duże - nisko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3</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0,33</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1</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0,11</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3</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 xml:space="preserve">Czas i terminowość realizacji należności </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0,11</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długie - nisko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4</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0,44</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1</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0,11</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4</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Elastyczność reakcji na potrzeby czytelnika</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0,10</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duża - wysoko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1</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0,10</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5</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0,50</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5</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Efektywność informacji o ofercie książek</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0,09</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wysoka - wysoko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2</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0,18</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3</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0,27</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6</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Możliwości finansowe</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0,09</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duże - wysoko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4</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0,36</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3</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0,27</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7</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Wielkość  oferty tytułowej</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0,08</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duża - wysoko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1</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0,08</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5</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0,40</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8</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Udział kosztów poligraficznych</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0,07</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duży - nisko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1</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0,07</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3</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0,21</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9</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Cyfrowa dostępność tytułów</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0,07</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duża - wysoko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1</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0,07</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5</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0,35</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10</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Poziom edytorski wydawnictw</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0,06</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wysoki - wysoko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4</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0,24</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3</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0,18</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11</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Zgromadzone prawa majątkowe</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0,05</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duże - wysoko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1</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0,05</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4</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0,20</w:t>
            </w:r>
          </w:p>
        </w:tc>
      </w:tr>
      <w:tr w:rsidR="00427F31" w:rsidRPr="00427F31" w:rsidTr="00BC21DA">
        <w:trPr>
          <w:trHeight w:val="255"/>
        </w:trPr>
        <w:tc>
          <w:tcPr>
            <w:tcW w:w="363" w:type="dxa"/>
            <w:tcBorders>
              <w:top w:val="nil"/>
              <w:left w:val="single" w:sz="8"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12</w:t>
            </w:r>
          </w:p>
        </w:tc>
        <w:tc>
          <w:tcPr>
            <w:tcW w:w="3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Siła marki wydawnictwa</w:t>
            </w:r>
          </w:p>
        </w:tc>
        <w:tc>
          <w:tcPr>
            <w:tcW w:w="64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0,05</w:t>
            </w:r>
          </w:p>
        </w:tc>
        <w:tc>
          <w:tcPr>
            <w:tcW w:w="1720" w:type="dxa"/>
            <w:tcBorders>
              <w:top w:val="nil"/>
              <w:left w:val="single" w:sz="4" w:space="0" w:color="auto"/>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wysoka - wysoko</w:t>
            </w:r>
          </w:p>
        </w:tc>
        <w:tc>
          <w:tcPr>
            <w:tcW w:w="1060" w:type="dxa"/>
            <w:tcBorders>
              <w:top w:val="nil"/>
              <w:left w:val="nil"/>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4</w:t>
            </w:r>
          </w:p>
        </w:tc>
        <w:tc>
          <w:tcPr>
            <w:tcW w:w="960" w:type="dxa"/>
            <w:tcBorders>
              <w:top w:val="nil"/>
              <w:left w:val="single" w:sz="4" w:space="0" w:color="auto"/>
              <w:bottom w:val="nil"/>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0,20</w:t>
            </w:r>
          </w:p>
        </w:tc>
        <w:tc>
          <w:tcPr>
            <w:tcW w:w="1060" w:type="dxa"/>
            <w:tcBorders>
              <w:top w:val="nil"/>
              <w:left w:val="single" w:sz="4" w:space="0" w:color="auto"/>
              <w:bottom w:val="nil"/>
              <w:right w:val="single" w:sz="4"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3</w:t>
            </w:r>
          </w:p>
        </w:tc>
        <w:tc>
          <w:tcPr>
            <w:tcW w:w="960" w:type="dxa"/>
            <w:tcBorders>
              <w:top w:val="nil"/>
              <w:left w:val="nil"/>
              <w:bottom w:val="nil"/>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sz w:val="20"/>
                <w:szCs w:val="20"/>
                <w:lang w:eastAsia="pl-PL"/>
              </w:rPr>
            </w:pPr>
            <w:r w:rsidRPr="00427F31">
              <w:rPr>
                <w:rFonts w:ascii="Times New Roman" w:eastAsia="Times New Roman" w:hAnsi="Times New Roman" w:cs="Times New Roman"/>
                <w:sz w:val="20"/>
                <w:szCs w:val="20"/>
                <w:lang w:eastAsia="pl-PL"/>
              </w:rPr>
              <w:t>0,15</w:t>
            </w:r>
          </w:p>
        </w:tc>
      </w:tr>
      <w:tr w:rsidR="00427F31" w:rsidRPr="00427F31" w:rsidTr="00BC21DA">
        <w:trPr>
          <w:trHeight w:val="330"/>
        </w:trPr>
        <w:tc>
          <w:tcPr>
            <w:tcW w:w="363" w:type="dxa"/>
            <w:tcBorders>
              <w:top w:val="nil"/>
              <w:left w:val="single" w:sz="8" w:space="0" w:color="auto"/>
              <w:bottom w:val="single" w:sz="8" w:space="0" w:color="auto"/>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sz w:val="24"/>
                <w:szCs w:val="24"/>
                <w:lang w:eastAsia="pl-PL"/>
              </w:rPr>
            </w:pPr>
            <w:r w:rsidRPr="00427F31">
              <w:rPr>
                <w:rFonts w:ascii="Times New Roman" w:eastAsia="Times New Roman" w:hAnsi="Times New Roman" w:cs="Times New Roman"/>
                <w:sz w:val="24"/>
                <w:szCs w:val="24"/>
                <w:lang w:eastAsia="pl-PL"/>
              </w:rPr>
              <w:t> </w:t>
            </w:r>
          </w:p>
        </w:tc>
        <w:tc>
          <w:tcPr>
            <w:tcW w:w="3640" w:type="dxa"/>
            <w:tcBorders>
              <w:top w:val="nil"/>
              <w:left w:val="single" w:sz="4" w:space="0" w:color="auto"/>
              <w:bottom w:val="single" w:sz="8" w:space="0" w:color="auto"/>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Razem</w:t>
            </w:r>
          </w:p>
        </w:tc>
        <w:tc>
          <w:tcPr>
            <w:tcW w:w="640" w:type="dxa"/>
            <w:tcBorders>
              <w:top w:val="nil"/>
              <w:left w:val="single" w:sz="4" w:space="0" w:color="auto"/>
              <w:bottom w:val="single" w:sz="8" w:space="0" w:color="auto"/>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1,00</w:t>
            </w:r>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 </w:t>
            </w:r>
          </w:p>
        </w:tc>
        <w:tc>
          <w:tcPr>
            <w:tcW w:w="1060" w:type="dxa"/>
            <w:tcBorders>
              <w:top w:val="nil"/>
              <w:left w:val="nil"/>
              <w:bottom w:val="single" w:sz="8" w:space="0" w:color="auto"/>
              <w:right w:val="nil"/>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 </w:t>
            </w:r>
          </w:p>
        </w:tc>
        <w:tc>
          <w:tcPr>
            <w:tcW w:w="960" w:type="dxa"/>
            <w:tcBorders>
              <w:top w:val="nil"/>
              <w:left w:val="single" w:sz="4" w:space="0" w:color="auto"/>
              <w:bottom w:val="single" w:sz="8" w:space="0" w:color="auto"/>
              <w:right w:val="nil"/>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2,60</w:t>
            </w:r>
          </w:p>
        </w:tc>
        <w:tc>
          <w:tcPr>
            <w:tcW w:w="1060" w:type="dxa"/>
            <w:tcBorders>
              <w:top w:val="nil"/>
              <w:left w:val="single" w:sz="4" w:space="0" w:color="auto"/>
              <w:bottom w:val="single" w:sz="8" w:space="0" w:color="auto"/>
              <w:right w:val="single" w:sz="4" w:space="0" w:color="auto"/>
            </w:tcBorders>
            <w:shd w:val="clear" w:color="auto" w:fill="auto"/>
            <w:noWrap/>
            <w:vAlign w:val="bottom"/>
            <w:hideMark/>
          </w:tcPr>
          <w:p w:rsidR="00427F31" w:rsidRPr="00427F31" w:rsidRDefault="00427F31" w:rsidP="00427F31">
            <w:pPr>
              <w:spacing w:after="0" w:line="240" w:lineRule="auto"/>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 </w:t>
            </w:r>
          </w:p>
        </w:tc>
        <w:tc>
          <w:tcPr>
            <w:tcW w:w="960" w:type="dxa"/>
            <w:tcBorders>
              <w:top w:val="nil"/>
              <w:left w:val="nil"/>
              <w:bottom w:val="single" w:sz="8" w:space="0" w:color="auto"/>
              <w:right w:val="single" w:sz="8" w:space="0" w:color="auto"/>
            </w:tcBorders>
            <w:shd w:val="clear" w:color="auto" w:fill="auto"/>
            <w:noWrap/>
            <w:vAlign w:val="bottom"/>
            <w:hideMark/>
          </w:tcPr>
          <w:p w:rsidR="00427F31" w:rsidRPr="00427F31" w:rsidRDefault="00427F31" w:rsidP="00427F31">
            <w:pPr>
              <w:spacing w:after="0" w:line="240" w:lineRule="auto"/>
              <w:jc w:val="right"/>
              <w:rPr>
                <w:rFonts w:ascii="Times New Roman" w:eastAsia="Times New Roman" w:hAnsi="Times New Roman" w:cs="Times New Roman"/>
                <w:b/>
                <w:bCs/>
                <w:sz w:val="20"/>
                <w:szCs w:val="20"/>
                <w:lang w:eastAsia="pl-PL"/>
              </w:rPr>
            </w:pPr>
            <w:r w:rsidRPr="00427F31">
              <w:rPr>
                <w:rFonts w:ascii="Times New Roman" w:eastAsia="Times New Roman" w:hAnsi="Times New Roman" w:cs="Times New Roman"/>
                <w:b/>
                <w:bCs/>
                <w:sz w:val="20"/>
                <w:szCs w:val="20"/>
                <w:lang w:eastAsia="pl-PL"/>
              </w:rPr>
              <w:t>3,11</w:t>
            </w:r>
          </w:p>
        </w:tc>
      </w:tr>
    </w:tbl>
    <w:p w:rsidR="003457D6" w:rsidRDefault="00BC21DA" w:rsidP="0027212F">
      <w:pPr>
        <w:spacing w:line="360" w:lineRule="auto"/>
        <w:rPr>
          <w:rFonts w:ascii="Times New Roman" w:hAnsi="Times New Roman" w:cs="Times New Roman"/>
          <w:b/>
          <w:sz w:val="24"/>
          <w:szCs w:val="24"/>
        </w:rPr>
      </w:pPr>
      <w:r>
        <w:rPr>
          <w:rFonts w:ascii="Times New Roman" w:hAnsi="Times New Roman" w:cs="Times New Roman"/>
          <w:b/>
          <w:sz w:val="24"/>
          <w:szCs w:val="24"/>
        </w:rPr>
        <w:br/>
      </w:r>
    </w:p>
    <w:p w:rsidR="003457D6" w:rsidRDefault="003457D6" w:rsidP="0027212F">
      <w:pPr>
        <w:spacing w:line="360" w:lineRule="auto"/>
        <w:rPr>
          <w:rFonts w:ascii="Times New Roman" w:hAnsi="Times New Roman" w:cs="Times New Roman"/>
          <w:b/>
          <w:sz w:val="24"/>
          <w:szCs w:val="24"/>
        </w:rPr>
      </w:pPr>
    </w:p>
    <w:p w:rsidR="003457D6" w:rsidRDefault="003457D6" w:rsidP="0027212F">
      <w:pPr>
        <w:spacing w:line="360" w:lineRule="auto"/>
        <w:rPr>
          <w:rFonts w:ascii="Times New Roman" w:hAnsi="Times New Roman" w:cs="Times New Roman"/>
          <w:b/>
          <w:sz w:val="24"/>
          <w:szCs w:val="24"/>
        </w:rPr>
      </w:pPr>
    </w:p>
    <w:p w:rsidR="003457D6" w:rsidRDefault="003457D6" w:rsidP="0027212F">
      <w:pPr>
        <w:spacing w:line="360" w:lineRule="auto"/>
        <w:rPr>
          <w:rFonts w:ascii="Times New Roman" w:hAnsi="Times New Roman" w:cs="Times New Roman"/>
          <w:b/>
          <w:sz w:val="24"/>
          <w:szCs w:val="24"/>
        </w:rPr>
      </w:pPr>
    </w:p>
    <w:p w:rsidR="003457D6" w:rsidRDefault="003457D6" w:rsidP="0027212F">
      <w:pPr>
        <w:spacing w:line="360" w:lineRule="auto"/>
        <w:rPr>
          <w:rFonts w:ascii="Times New Roman" w:hAnsi="Times New Roman" w:cs="Times New Roman"/>
          <w:b/>
          <w:sz w:val="24"/>
          <w:szCs w:val="24"/>
        </w:rPr>
      </w:pPr>
    </w:p>
    <w:p w:rsidR="003457D6" w:rsidRDefault="003457D6" w:rsidP="0027212F">
      <w:pPr>
        <w:spacing w:line="360" w:lineRule="auto"/>
        <w:rPr>
          <w:rFonts w:ascii="Times New Roman" w:hAnsi="Times New Roman" w:cs="Times New Roman"/>
          <w:b/>
          <w:sz w:val="24"/>
          <w:szCs w:val="24"/>
        </w:rPr>
      </w:pPr>
    </w:p>
    <w:p w:rsidR="003457D6" w:rsidRDefault="003457D6" w:rsidP="0027212F">
      <w:pPr>
        <w:spacing w:line="360" w:lineRule="auto"/>
        <w:rPr>
          <w:rFonts w:ascii="Times New Roman" w:hAnsi="Times New Roman" w:cs="Times New Roman"/>
          <w:b/>
          <w:sz w:val="24"/>
          <w:szCs w:val="24"/>
        </w:rPr>
      </w:pPr>
    </w:p>
    <w:p w:rsidR="003457D6" w:rsidRDefault="003457D6" w:rsidP="0027212F">
      <w:pPr>
        <w:spacing w:line="360" w:lineRule="auto"/>
        <w:rPr>
          <w:rFonts w:ascii="Times New Roman" w:hAnsi="Times New Roman" w:cs="Times New Roman"/>
          <w:b/>
          <w:sz w:val="24"/>
          <w:szCs w:val="24"/>
        </w:rPr>
      </w:pPr>
    </w:p>
    <w:p w:rsidR="00374CB5" w:rsidRPr="00374CB5" w:rsidRDefault="007402A7" w:rsidP="003457D6">
      <w:pPr>
        <w:spacing w:line="360" w:lineRule="auto"/>
        <w:ind w:firstLine="360"/>
        <w:rPr>
          <w:rFonts w:ascii="Times New Roman" w:hAnsi="Times New Roman" w:cs="Times New Roman"/>
          <w:b/>
          <w:sz w:val="24"/>
          <w:szCs w:val="24"/>
        </w:rPr>
      </w:pPr>
      <w:r>
        <w:rPr>
          <w:rFonts w:ascii="Times New Roman" w:hAnsi="Times New Roman" w:cs="Times New Roman"/>
          <w:b/>
          <w:sz w:val="24"/>
          <w:szCs w:val="24"/>
        </w:rPr>
        <w:lastRenderedPageBreak/>
        <w:t>W</w:t>
      </w:r>
      <w:r w:rsidR="00374CB5" w:rsidRPr="00374CB5">
        <w:rPr>
          <w:rFonts w:ascii="Times New Roman" w:hAnsi="Times New Roman" w:cs="Times New Roman"/>
          <w:b/>
          <w:sz w:val="24"/>
          <w:szCs w:val="24"/>
        </w:rPr>
        <w:t>izualizacja wyniku KCS</w:t>
      </w:r>
    </w:p>
    <w:p w:rsidR="00F156FE" w:rsidRDefault="00427F31" w:rsidP="00AF2961">
      <w:pPr>
        <w:spacing w:line="360" w:lineRule="auto"/>
        <w:ind w:firstLine="360"/>
        <w:rPr>
          <w:i/>
          <w:iCs/>
        </w:rPr>
      </w:pPr>
      <w:r>
        <w:rPr>
          <w:noProof/>
          <w:lang w:eastAsia="pl-PL"/>
        </w:rPr>
        <w:drawing>
          <wp:inline distT="0" distB="0" distL="0" distR="0">
            <wp:extent cx="5382290" cy="3136605"/>
            <wp:effectExtent l="19050" t="0" r="27910" b="664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F2961" w:rsidRDefault="00AF2961" w:rsidP="00374CB5">
      <w:pPr>
        <w:spacing w:line="360" w:lineRule="auto"/>
        <w:ind w:firstLine="708"/>
        <w:rPr>
          <w:i/>
          <w:iCs/>
        </w:rPr>
      </w:pPr>
      <w:r w:rsidRPr="009A77FC">
        <w:rPr>
          <w:i/>
          <w:iCs/>
        </w:rPr>
        <w:t>Źródło: opracowanie własne</w:t>
      </w:r>
      <w:r w:rsidR="00FE159B">
        <w:rPr>
          <w:i/>
          <w:iCs/>
        </w:rPr>
        <w:t>.</w:t>
      </w:r>
    </w:p>
    <w:p w:rsidR="00DC7884" w:rsidRPr="003457D6" w:rsidRDefault="00330772" w:rsidP="003457D6">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KCS opisuje czynniki, które są najistotniejsze dla działalności firmy i jeżeli mają odpowiednią wartość powinny zapewnić sukces danej firmie. Należy jednak pamiętać, że czynniki warunkujące sukces podlegają zmianie lub zmienia się ich ważność wraz ze zmianami warunków w jakich funkcjonuje dana firma. W tym wypadku co innego decydowało o sukcesie przed 1989 rokiem, a co innego decyduje w roku 2012. Przykładowo, przed rokiem 1989 decydujące znaczenie miał przydział puli papieru na druk książek lub poparcie polityczne </w:t>
      </w:r>
      <w:r w:rsidR="0027212F">
        <w:rPr>
          <w:rFonts w:ascii="Times New Roman" w:hAnsi="Times New Roman" w:cs="Times New Roman"/>
          <w:sz w:val="24"/>
          <w:szCs w:val="24"/>
        </w:rPr>
        <w:t xml:space="preserve">dla </w:t>
      </w:r>
      <w:r>
        <w:rPr>
          <w:rFonts w:ascii="Times New Roman" w:hAnsi="Times New Roman" w:cs="Times New Roman"/>
          <w:sz w:val="24"/>
          <w:szCs w:val="24"/>
        </w:rPr>
        <w:t xml:space="preserve">szefa wydawnictwa. </w:t>
      </w:r>
      <w:r w:rsidR="00461591">
        <w:rPr>
          <w:rFonts w:ascii="Times New Roman" w:hAnsi="Times New Roman" w:cs="Times New Roman"/>
          <w:sz w:val="24"/>
          <w:szCs w:val="24"/>
        </w:rPr>
        <w:t>Pomimo tych zastrzeżeń warto popatrzeć, gdzie jest dziś branża, a gdzie była ponad dwadzieścia lat temu, oczywiście przyjęte są czynniki i ich waga w warunkach obecnych.</w:t>
      </w:r>
    </w:p>
    <w:p w:rsidR="00461591" w:rsidRDefault="00461591"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Po pierwsze zwraca uwagę to, że ogólny wynik sprzed 20 lat nie jest dramatycznie niski w stosunku do obecnego czasu – 2,</w:t>
      </w:r>
      <w:r w:rsidR="00427F31">
        <w:rPr>
          <w:rFonts w:ascii="Times New Roman" w:hAnsi="Times New Roman" w:cs="Times New Roman"/>
          <w:sz w:val="24"/>
          <w:szCs w:val="24"/>
        </w:rPr>
        <w:t>60</w:t>
      </w:r>
      <w:r>
        <w:rPr>
          <w:rFonts w:ascii="Times New Roman" w:hAnsi="Times New Roman" w:cs="Times New Roman"/>
          <w:sz w:val="24"/>
          <w:szCs w:val="24"/>
        </w:rPr>
        <w:t xml:space="preserve"> do 3,</w:t>
      </w:r>
      <w:r w:rsidR="00427F31">
        <w:rPr>
          <w:rFonts w:ascii="Times New Roman" w:hAnsi="Times New Roman" w:cs="Times New Roman"/>
          <w:sz w:val="24"/>
          <w:szCs w:val="24"/>
        </w:rPr>
        <w:t>11</w:t>
      </w:r>
      <w:r>
        <w:rPr>
          <w:rFonts w:ascii="Times New Roman" w:hAnsi="Times New Roman" w:cs="Times New Roman"/>
          <w:sz w:val="24"/>
          <w:szCs w:val="24"/>
        </w:rPr>
        <w:t xml:space="preserve"> – chociaż oczywiście jest niższy. Po drugie są czynniki, których wartość była wówczas wyższa, naj</w:t>
      </w:r>
      <w:r w:rsidR="005E7B63">
        <w:rPr>
          <w:rFonts w:ascii="Times New Roman" w:hAnsi="Times New Roman" w:cs="Times New Roman"/>
          <w:sz w:val="24"/>
          <w:szCs w:val="24"/>
        </w:rPr>
        <w:t xml:space="preserve">większa różnica jest w terminowości płatności i wysokości rabatów dystrybucyjnych. Na podobnym lub wyższym poziomie jak obecnie kształtowały się czynniki: efektywność kanałów dystrybucji (książki były towarem </w:t>
      </w:r>
      <w:r w:rsidR="005E7B63">
        <w:rPr>
          <w:rFonts w:ascii="Times New Roman" w:hAnsi="Times New Roman" w:cs="Times New Roman"/>
          <w:sz w:val="24"/>
          <w:szCs w:val="24"/>
        </w:rPr>
        <w:lastRenderedPageBreak/>
        <w:t>deficytowym), marka wydawnictwa (kupowane były książki bo np. wydawał je „Czytelnik” lub „PIW”), poziom edytorski (gorsz</w:t>
      </w:r>
      <w:r w:rsidR="00427F31">
        <w:rPr>
          <w:rFonts w:ascii="Times New Roman" w:hAnsi="Times New Roman" w:cs="Times New Roman"/>
          <w:sz w:val="24"/>
          <w:szCs w:val="24"/>
        </w:rPr>
        <w:t>y</w:t>
      </w:r>
      <w:r w:rsidR="005E7B63">
        <w:rPr>
          <w:rFonts w:ascii="Times New Roman" w:hAnsi="Times New Roman" w:cs="Times New Roman"/>
          <w:sz w:val="24"/>
          <w:szCs w:val="24"/>
        </w:rPr>
        <w:t xml:space="preserve"> papier, ale znacznie większa dbałość o jakość merytoryczną i językową)</w:t>
      </w:r>
      <w:r w:rsidR="00C52486">
        <w:rPr>
          <w:rFonts w:ascii="Times New Roman" w:hAnsi="Times New Roman" w:cs="Times New Roman"/>
          <w:sz w:val="24"/>
          <w:szCs w:val="24"/>
        </w:rPr>
        <w:t>, czy możliwości finansowe (jak państwowe wydawnictwo powołano, to już funkcjonowało).</w:t>
      </w:r>
    </w:p>
    <w:p w:rsidR="00C52486" w:rsidRDefault="00C52486"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W obecnym czasie wyższą wartość mają czynniki: elastyczność reakcji na potrzeby czytelnika, efektywność informacji o ofercie (wcześniej w zasadzie nie istniał marketing), </w:t>
      </w:r>
      <w:r w:rsidR="00427F31">
        <w:rPr>
          <w:rFonts w:ascii="Times New Roman" w:hAnsi="Times New Roman" w:cs="Times New Roman"/>
          <w:sz w:val="24"/>
          <w:szCs w:val="24"/>
        </w:rPr>
        <w:t xml:space="preserve">udział kosztów poligraficznych, </w:t>
      </w:r>
      <w:r>
        <w:rPr>
          <w:rFonts w:ascii="Times New Roman" w:hAnsi="Times New Roman" w:cs="Times New Roman"/>
          <w:sz w:val="24"/>
          <w:szCs w:val="24"/>
        </w:rPr>
        <w:t>wielkość oferty tytułowej (kilkukrotnie większej), zgromadzenie praw autorskich praw majątkowych oraz cyfrowa dostępność tytułów.</w:t>
      </w:r>
      <w:r w:rsidR="00427F31">
        <w:rPr>
          <w:rFonts w:ascii="Times New Roman" w:hAnsi="Times New Roman" w:cs="Times New Roman"/>
          <w:sz w:val="24"/>
          <w:szCs w:val="24"/>
        </w:rPr>
        <w:t xml:space="preserve"> Obszary wytyczone przez wartość czynników opisujące poprzedni i obecny okres są względem siebie przesunięte, co innego się liczy.</w:t>
      </w:r>
    </w:p>
    <w:p w:rsidR="00374CB5" w:rsidRPr="00374CB5" w:rsidRDefault="00374CB5" w:rsidP="00374CB5">
      <w:pPr>
        <w:spacing w:line="360" w:lineRule="auto"/>
        <w:ind w:firstLine="360"/>
        <w:rPr>
          <w:rFonts w:ascii="Times New Roman" w:hAnsi="Times New Roman" w:cs="Times New Roman"/>
          <w:b/>
          <w:sz w:val="24"/>
          <w:szCs w:val="24"/>
        </w:rPr>
      </w:pPr>
      <w:r w:rsidRPr="00374CB5">
        <w:rPr>
          <w:rFonts w:ascii="Times New Roman" w:hAnsi="Times New Roman" w:cs="Times New Roman"/>
          <w:b/>
          <w:sz w:val="24"/>
          <w:szCs w:val="24"/>
        </w:rPr>
        <w:t xml:space="preserve">Wizualizacja </w:t>
      </w:r>
      <w:r>
        <w:rPr>
          <w:rFonts w:ascii="Times New Roman" w:hAnsi="Times New Roman" w:cs="Times New Roman"/>
          <w:b/>
          <w:sz w:val="24"/>
          <w:szCs w:val="24"/>
        </w:rPr>
        <w:t>oceny</w:t>
      </w:r>
      <w:r w:rsidRPr="00374CB5">
        <w:rPr>
          <w:rFonts w:ascii="Times New Roman" w:hAnsi="Times New Roman" w:cs="Times New Roman"/>
          <w:b/>
          <w:sz w:val="24"/>
          <w:szCs w:val="24"/>
        </w:rPr>
        <w:t xml:space="preserve"> KCS</w:t>
      </w:r>
    </w:p>
    <w:p w:rsidR="00374CB5" w:rsidRDefault="00374CB5" w:rsidP="00330772">
      <w:pPr>
        <w:pStyle w:val="Akapitzlist"/>
        <w:spacing w:line="360" w:lineRule="auto"/>
        <w:ind w:left="0" w:firstLine="360"/>
        <w:rPr>
          <w:rFonts w:ascii="Times New Roman" w:hAnsi="Times New Roman" w:cs="Times New Roman"/>
          <w:sz w:val="24"/>
          <w:szCs w:val="24"/>
        </w:rPr>
      </w:pPr>
      <w:r>
        <w:rPr>
          <w:noProof/>
          <w:lang w:eastAsia="pl-PL"/>
        </w:rPr>
        <w:drawing>
          <wp:inline distT="0" distB="0" distL="0" distR="0">
            <wp:extent cx="5305159" cy="3189767"/>
            <wp:effectExtent l="19050" t="0" r="9791"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74CB5" w:rsidRPr="00374CB5" w:rsidRDefault="00374CB5" w:rsidP="00374CB5">
      <w:pPr>
        <w:spacing w:line="360" w:lineRule="auto"/>
        <w:ind w:firstLine="708"/>
        <w:rPr>
          <w:i/>
          <w:iCs/>
        </w:rPr>
      </w:pPr>
      <w:r w:rsidRPr="009A77FC">
        <w:rPr>
          <w:i/>
          <w:iCs/>
        </w:rPr>
        <w:t>Źródło: opracowanie własne</w:t>
      </w:r>
      <w:r w:rsidR="00FE159B">
        <w:rPr>
          <w:i/>
          <w:iCs/>
        </w:rPr>
        <w:t>.</w:t>
      </w:r>
    </w:p>
    <w:p w:rsidR="00F13842" w:rsidRDefault="00F13842" w:rsidP="00BC21DA">
      <w:pPr>
        <w:pStyle w:val="Akapitzlist"/>
        <w:spacing w:line="360" w:lineRule="auto"/>
        <w:ind w:left="0" w:firstLine="360"/>
        <w:jc w:val="both"/>
        <w:rPr>
          <w:rFonts w:ascii="Times New Roman" w:hAnsi="Times New Roman" w:cs="Times New Roman"/>
          <w:sz w:val="24"/>
          <w:szCs w:val="24"/>
        </w:rPr>
      </w:pPr>
    </w:p>
    <w:p w:rsidR="00F13842" w:rsidRDefault="00F13842" w:rsidP="00BC21DA">
      <w:pPr>
        <w:pStyle w:val="Akapitzlist"/>
        <w:spacing w:line="360" w:lineRule="auto"/>
        <w:ind w:left="0" w:firstLine="360"/>
        <w:jc w:val="both"/>
        <w:rPr>
          <w:rFonts w:ascii="Times New Roman" w:hAnsi="Times New Roman" w:cs="Times New Roman"/>
          <w:sz w:val="24"/>
          <w:szCs w:val="24"/>
        </w:rPr>
      </w:pPr>
    </w:p>
    <w:p w:rsidR="00FE159B" w:rsidRDefault="00FE159B" w:rsidP="00BC21DA">
      <w:pPr>
        <w:pStyle w:val="Akapitzlist"/>
        <w:spacing w:line="360" w:lineRule="auto"/>
        <w:ind w:left="0" w:firstLine="360"/>
        <w:jc w:val="both"/>
        <w:rPr>
          <w:rFonts w:ascii="Times New Roman" w:hAnsi="Times New Roman" w:cs="Times New Roman"/>
          <w:sz w:val="24"/>
          <w:szCs w:val="24"/>
        </w:rPr>
      </w:pPr>
    </w:p>
    <w:p w:rsidR="00FE159B" w:rsidRDefault="00FE159B" w:rsidP="00BC21DA">
      <w:pPr>
        <w:pStyle w:val="Akapitzlist"/>
        <w:spacing w:line="360" w:lineRule="auto"/>
        <w:ind w:left="0" w:firstLine="360"/>
        <w:jc w:val="both"/>
        <w:rPr>
          <w:rFonts w:ascii="Times New Roman" w:hAnsi="Times New Roman" w:cs="Times New Roman"/>
          <w:sz w:val="24"/>
          <w:szCs w:val="24"/>
        </w:rPr>
      </w:pPr>
    </w:p>
    <w:p w:rsidR="00BC21DA" w:rsidRDefault="00427F31"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Najlepsz</w:t>
      </w:r>
      <w:r w:rsidR="00374CB5">
        <w:rPr>
          <w:rFonts w:ascii="Times New Roman" w:hAnsi="Times New Roman" w:cs="Times New Roman"/>
          <w:sz w:val="24"/>
          <w:szCs w:val="24"/>
        </w:rPr>
        <w:t>ą wizualizacją oceny poszczególnych czynników</w:t>
      </w:r>
      <w:r>
        <w:rPr>
          <w:rFonts w:ascii="Times New Roman" w:hAnsi="Times New Roman" w:cs="Times New Roman"/>
          <w:sz w:val="24"/>
          <w:szCs w:val="24"/>
        </w:rPr>
        <w:t xml:space="preserve"> byłby okrąg</w:t>
      </w:r>
      <w:r w:rsidR="00374CB5">
        <w:rPr>
          <w:rFonts w:ascii="Times New Roman" w:hAnsi="Times New Roman" w:cs="Times New Roman"/>
          <w:sz w:val="24"/>
          <w:szCs w:val="24"/>
        </w:rPr>
        <w:t>,</w:t>
      </w:r>
      <w:r>
        <w:rPr>
          <w:rFonts w:ascii="Times New Roman" w:hAnsi="Times New Roman" w:cs="Times New Roman"/>
          <w:sz w:val="24"/>
          <w:szCs w:val="24"/>
        </w:rPr>
        <w:t xml:space="preserve"> możliwie największy</w:t>
      </w:r>
      <w:r w:rsidR="00374CB5">
        <w:rPr>
          <w:rFonts w:ascii="Times New Roman" w:hAnsi="Times New Roman" w:cs="Times New Roman"/>
          <w:sz w:val="24"/>
          <w:szCs w:val="24"/>
        </w:rPr>
        <w:t>.</w:t>
      </w:r>
      <w:r w:rsidR="003B6AF7">
        <w:rPr>
          <w:rFonts w:ascii="Times New Roman" w:hAnsi="Times New Roman" w:cs="Times New Roman"/>
          <w:sz w:val="24"/>
          <w:szCs w:val="24"/>
        </w:rPr>
        <w:t xml:space="preserve"> </w:t>
      </w:r>
      <w:r w:rsidR="00374CB5">
        <w:rPr>
          <w:rFonts w:ascii="Times New Roman" w:hAnsi="Times New Roman" w:cs="Times New Roman"/>
          <w:sz w:val="24"/>
          <w:szCs w:val="24"/>
        </w:rPr>
        <w:t xml:space="preserve">Patrząc na </w:t>
      </w:r>
      <w:r>
        <w:rPr>
          <w:rFonts w:ascii="Times New Roman" w:hAnsi="Times New Roman" w:cs="Times New Roman"/>
          <w:sz w:val="24"/>
          <w:szCs w:val="24"/>
        </w:rPr>
        <w:t>figur</w:t>
      </w:r>
      <w:r w:rsidR="00374CB5">
        <w:rPr>
          <w:rFonts w:ascii="Times New Roman" w:hAnsi="Times New Roman" w:cs="Times New Roman"/>
          <w:sz w:val="24"/>
          <w:szCs w:val="24"/>
        </w:rPr>
        <w:t>ę</w:t>
      </w:r>
      <w:r>
        <w:rPr>
          <w:rFonts w:ascii="Times New Roman" w:hAnsi="Times New Roman" w:cs="Times New Roman"/>
          <w:sz w:val="24"/>
          <w:szCs w:val="24"/>
        </w:rPr>
        <w:t xml:space="preserve"> geometryczn</w:t>
      </w:r>
      <w:r w:rsidR="00374CB5">
        <w:rPr>
          <w:rFonts w:ascii="Times New Roman" w:hAnsi="Times New Roman" w:cs="Times New Roman"/>
          <w:sz w:val="24"/>
          <w:szCs w:val="24"/>
        </w:rPr>
        <w:t>ą</w:t>
      </w:r>
      <w:r>
        <w:rPr>
          <w:rFonts w:ascii="Times New Roman" w:hAnsi="Times New Roman" w:cs="Times New Roman"/>
          <w:sz w:val="24"/>
          <w:szCs w:val="24"/>
        </w:rPr>
        <w:t xml:space="preserve"> opisując</w:t>
      </w:r>
      <w:r w:rsidR="00374CB5">
        <w:rPr>
          <w:rFonts w:ascii="Times New Roman" w:hAnsi="Times New Roman" w:cs="Times New Roman"/>
          <w:sz w:val="24"/>
          <w:szCs w:val="24"/>
        </w:rPr>
        <w:t>ą</w:t>
      </w:r>
      <w:r>
        <w:rPr>
          <w:rFonts w:ascii="Times New Roman" w:hAnsi="Times New Roman" w:cs="Times New Roman"/>
          <w:sz w:val="24"/>
          <w:szCs w:val="24"/>
        </w:rPr>
        <w:t xml:space="preserve"> rok 2012 widać, że </w:t>
      </w:r>
      <w:r w:rsidR="00374CB5">
        <w:rPr>
          <w:rFonts w:ascii="Times New Roman" w:hAnsi="Times New Roman" w:cs="Times New Roman"/>
          <w:sz w:val="24"/>
          <w:szCs w:val="24"/>
        </w:rPr>
        <w:t xml:space="preserve">do okręgu jej jeszcze dużo brakuje, najwięcej do poprawienia jest w wysokości rabatów dystrybucyjnych i przyspieszenia płatności należności. Powstaje pytanie, czy ta figura geometryczna ma szanse zbliżać się do okręgu i być jak największa, czy za parę lat się skurczy? </w:t>
      </w:r>
      <w:r w:rsidR="00CD3472">
        <w:rPr>
          <w:rFonts w:ascii="Times New Roman" w:hAnsi="Times New Roman" w:cs="Times New Roman"/>
          <w:sz w:val="24"/>
          <w:szCs w:val="24"/>
        </w:rPr>
        <w:t>To jest pytanie, czy możliwe są skuteczne zmiany wymienionych czynników. To jest pytanie o przyszłość rynku wydawniczego związanego z książką.</w:t>
      </w:r>
    </w:p>
    <w:p w:rsidR="00A03D3C" w:rsidRDefault="00BC21DA"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D811BB" w:rsidRDefault="00BC21DA" w:rsidP="00BC21DA">
      <w:pPr>
        <w:pStyle w:val="Akapitzlist"/>
        <w:spacing w:line="360" w:lineRule="auto"/>
        <w:ind w:left="0" w:firstLine="360"/>
        <w:jc w:val="both"/>
        <w:rPr>
          <w:rFonts w:ascii="Times New Roman" w:hAnsi="Times New Roman" w:cs="Times New Roman"/>
          <w:sz w:val="26"/>
          <w:szCs w:val="26"/>
        </w:rPr>
      </w:pPr>
      <w:r>
        <w:rPr>
          <w:rFonts w:ascii="Times New Roman" w:hAnsi="Times New Roman" w:cs="Times New Roman"/>
          <w:sz w:val="24"/>
          <w:szCs w:val="24"/>
        </w:rPr>
        <w:br/>
      </w:r>
    </w:p>
    <w:p w:rsidR="00D811BB" w:rsidRDefault="00D811BB">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374CB5" w:rsidRPr="00BC21DA" w:rsidRDefault="001C0187" w:rsidP="00332277">
      <w:pPr>
        <w:pStyle w:val="Akapitzlist"/>
        <w:numPr>
          <w:ilvl w:val="1"/>
          <w:numId w:val="28"/>
        </w:numPr>
        <w:spacing w:line="360" w:lineRule="auto"/>
        <w:rPr>
          <w:rFonts w:ascii="Times New Roman" w:hAnsi="Times New Roman" w:cs="Times New Roman"/>
          <w:b/>
          <w:sz w:val="26"/>
          <w:szCs w:val="26"/>
        </w:rPr>
      </w:pPr>
      <w:r w:rsidRPr="00BC21DA">
        <w:rPr>
          <w:rFonts w:ascii="Times New Roman" w:hAnsi="Times New Roman" w:cs="Times New Roman"/>
          <w:b/>
          <w:sz w:val="26"/>
          <w:szCs w:val="26"/>
        </w:rPr>
        <w:lastRenderedPageBreak/>
        <w:t>Czynniki wpływające na kryzys rynku wydawniczego i oczekiwania dotyczące działań Polskiej Izby Książki</w:t>
      </w:r>
    </w:p>
    <w:p w:rsidR="00F0389F" w:rsidRDefault="00CD3472" w:rsidP="005963BA">
      <w:pPr>
        <w:pStyle w:val="Akapitzlist"/>
        <w:spacing w:line="360" w:lineRule="auto"/>
        <w:ind w:left="0" w:firstLine="360"/>
        <w:rPr>
          <w:rFonts w:ascii="Times New Roman" w:hAnsi="Times New Roman" w:cs="Times New Roman"/>
          <w:sz w:val="24"/>
          <w:szCs w:val="24"/>
        </w:rPr>
      </w:pPr>
      <w:r>
        <w:rPr>
          <w:rFonts w:ascii="Times New Roman" w:hAnsi="Times New Roman" w:cs="Times New Roman"/>
          <w:sz w:val="24"/>
          <w:szCs w:val="24"/>
        </w:rPr>
        <w:t xml:space="preserve">Odpowiadający na ankietę mieli możliwość wskazać więcej niż jedną z zaproponowanych odpowiedzi, a także dodać swoje </w:t>
      </w:r>
      <w:r w:rsidR="001C0187">
        <w:rPr>
          <w:rFonts w:ascii="Times New Roman" w:hAnsi="Times New Roman" w:cs="Times New Roman"/>
          <w:sz w:val="24"/>
          <w:szCs w:val="24"/>
        </w:rPr>
        <w:t>propozycje.</w:t>
      </w:r>
      <w:r w:rsidR="007E09CD">
        <w:rPr>
          <w:rFonts w:ascii="Times New Roman" w:hAnsi="Times New Roman" w:cs="Times New Roman"/>
          <w:sz w:val="24"/>
          <w:szCs w:val="24"/>
        </w:rPr>
        <w:t xml:space="preserve"> Pierwsze pytanie dotyczyło czynników negatywnie wpływających na rynek, a drugie, jakie działania powinien podjąć PIK dla ratowania tego rynku.</w:t>
      </w:r>
    </w:p>
    <w:p w:rsidR="00F0389F" w:rsidRPr="007E09CD" w:rsidRDefault="00F0389F" w:rsidP="00CD3472">
      <w:pPr>
        <w:spacing w:line="240" w:lineRule="auto"/>
        <w:ind w:left="516" w:firstLine="708"/>
        <w:rPr>
          <w:rFonts w:ascii="Times New Roman" w:hAnsi="Times New Roman" w:cs="Times New Roman"/>
          <w:sz w:val="24"/>
          <w:szCs w:val="24"/>
        </w:rPr>
      </w:pPr>
      <w:r w:rsidRPr="00CD3472">
        <w:rPr>
          <w:rFonts w:ascii="Times New Roman" w:hAnsi="Times New Roman" w:cs="Times New Roman"/>
          <w:b/>
          <w:sz w:val="24"/>
          <w:szCs w:val="24"/>
        </w:rPr>
        <w:t>Na stan rynku wydawniczego wpływa negatywnie:</w:t>
      </w:r>
    </w:p>
    <w:p w:rsidR="007E09CD" w:rsidRDefault="007E09CD" w:rsidP="006D453B">
      <w:pPr>
        <w:pStyle w:val="Akapitzlist"/>
        <w:numPr>
          <w:ilvl w:val="4"/>
          <w:numId w:val="22"/>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Wprowadzenie VAT-u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131E">
        <w:rPr>
          <w:rFonts w:ascii="Times New Roman" w:hAnsi="Times New Roman" w:cs="Times New Roman"/>
          <w:sz w:val="24"/>
          <w:szCs w:val="24"/>
        </w:rPr>
        <w:tab/>
      </w:r>
      <w:r w:rsidR="00BC21DA">
        <w:rPr>
          <w:rFonts w:ascii="Times New Roman" w:hAnsi="Times New Roman" w:cs="Times New Roman"/>
          <w:sz w:val="24"/>
          <w:szCs w:val="24"/>
        </w:rPr>
        <w:t>30 proc.</w:t>
      </w:r>
    </w:p>
    <w:p w:rsidR="007E09CD" w:rsidRDefault="007E09CD" w:rsidP="006D453B">
      <w:pPr>
        <w:pStyle w:val="Akapitzlist"/>
        <w:numPr>
          <w:ilvl w:val="4"/>
          <w:numId w:val="22"/>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Wydłużenie terminów płatności prz</w:t>
      </w:r>
      <w:r w:rsidR="00AF131E">
        <w:rPr>
          <w:rFonts w:ascii="Times New Roman" w:hAnsi="Times New Roman" w:cs="Times New Roman"/>
          <w:sz w:val="24"/>
          <w:szCs w:val="24"/>
        </w:rPr>
        <w:t>ez</w:t>
      </w:r>
      <w:r>
        <w:rPr>
          <w:rFonts w:ascii="Times New Roman" w:hAnsi="Times New Roman" w:cs="Times New Roman"/>
          <w:sz w:val="24"/>
          <w:szCs w:val="24"/>
        </w:rPr>
        <w:t xml:space="preserve"> głównych dystrybutorów</w:t>
      </w:r>
      <w:r w:rsidR="00AF131E">
        <w:rPr>
          <w:rFonts w:ascii="Times New Roman" w:hAnsi="Times New Roman" w:cs="Times New Roman"/>
          <w:sz w:val="24"/>
          <w:szCs w:val="24"/>
        </w:rPr>
        <w:tab/>
      </w:r>
      <w:r w:rsidR="006D453B">
        <w:rPr>
          <w:rFonts w:ascii="Times New Roman" w:hAnsi="Times New Roman" w:cs="Times New Roman"/>
          <w:sz w:val="24"/>
          <w:szCs w:val="24"/>
        </w:rPr>
        <w:tab/>
      </w:r>
      <w:r w:rsidR="00BC21DA">
        <w:rPr>
          <w:rFonts w:ascii="Times New Roman" w:hAnsi="Times New Roman" w:cs="Times New Roman"/>
          <w:sz w:val="24"/>
          <w:szCs w:val="24"/>
        </w:rPr>
        <w:t>28 proc.</w:t>
      </w:r>
    </w:p>
    <w:p w:rsidR="00AF131E" w:rsidRDefault="00AF131E" w:rsidP="006D453B">
      <w:pPr>
        <w:pStyle w:val="Akapitzlist"/>
        <w:numPr>
          <w:ilvl w:val="4"/>
          <w:numId w:val="22"/>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Przejęcie przez Empik kilku wydawnictw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D453B">
        <w:rPr>
          <w:rFonts w:ascii="Times New Roman" w:hAnsi="Times New Roman" w:cs="Times New Roman"/>
          <w:sz w:val="24"/>
          <w:szCs w:val="24"/>
        </w:rPr>
        <w:tab/>
      </w:r>
      <w:r w:rsidR="00BC21DA">
        <w:rPr>
          <w:rFonts w:ascii="Times New Roman" w:hAnsi="Times New Roman" w:cs="Times New Roman"/>
          <w:sz w:val="24"/>
          <w:szCs w:val="24"/>
        </w:rPr>
        <w:t>12 proc.</w:t>
      </w:r>
    </w:p>
    <w:p w:rsidR="00AF131E" w:rsidRDefault="00AF131E" w:rsidP="006D453B">
      <w:pPr>
        <w:pStyle w:val="Akapitzlist"/>
        <w:numPr>
          <w:ilvl w:val="4"/>
          <w:numId w:val="22"/>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Nadpodaż na ryn</w:t>
      </w:r>
      <w:r w:rsidR="00BC21DA">
        <w:rPr>
          <w:rFonts w:ascii="Times New Roman" w:hAnsi="Times New Roman" w:cs="Times New Roman"/>
          <w:sz w:val="24"/>
          <w:szCs w:val="24"/>
        </w:rPr>
        <w:t>ku „Taniej książki”</w:t>
      </w:r>
      <w:r w:rsidR="00BC21DA">
        <w:rPr>
          <w:rFonts w:ascii="Times New Roman" w:hAnsi="Times New Roman" w:cs="Times New Roman"/>
          <w:sz w:val="24"/>
          <w:szCs w:val="24"/>
        </w:rPr>
        <w:tab/>
      </w:r>
      <w:r w:rsidR="00BC21DA">
        <w:rPr>
          <w:rFonts w:ascii="Times New Roman" w:hAnsi="Times New Roman" w:cs="Times New Roman"/>
          <w:sz w:val="24"/>
          <w:szCs w:val="24"/>
        </w:rPr>
        <w:tab/>
      </w:r>
      <w:r w:rsidR="00BC21DA">
        <w:rPr>
          <w:rFonts w:ascii="Times New Roman" w:hAnsi="Times New Roman" w:cs="Times New Roman"/>
          <w:sz w:val="24"/>
          <w:szCs w:val="24"/>
        </w:rPr>
        <w:tab/>
      </w:r>
      <w:r w:rsidR="00BC21DA">
        <w:rPr>
          <w:rFonts w:ascii="Times New Roman" w:hAnsi="Times New Roman" w:cs="Times New Roman"/>
          <w:sz w:val="24"/>
          <w:szCs w:val="24"/>
        </w:rPr>
        <w:tab/>
      </w:r>
      <w:r w:rsidR="00BC21DA">
        <w:rPr>
          <w:rFonts w:ascii="Times New Roman" w:hAnsi="Times New Roman" w:cs="Times New Roman"/>
          <w:sz w:val="24"/>
          <w:szCs w:val="24"/>
        </w:rPr>
        <w:tab/>
        <w:t>10 proc.</w:t>
      </w:r>
    </w:p>
    <w:p w:rsidR="00AF131E" w:rsidRDefault="00AF131E" w:rsidP="006D453B">
      <w:pPr>
        <w:pStyle w:val="Akapitzlist"/>
        <w:numPr>
          <w:ilvl w:val="4"/>
          <w:numId w:val="22"/>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Nieustanne wyprzedaże przeprowadz</w:t>
      </w:r>
      <w:r w:rsidR="00BC21DA">
        <w:rPr>
          <w:rFonts w:ascii="Times New Roman" w:hAnsi="Times New Roman" w:cs="Times New Roman"/>
          <w:sz w:val="24"/>
          <w:szCs w:val="24"/>
        </w:rPr>
        <w:t>ane przez niektóre podmioty</w:t>
      </w:r>
      <w:r w:rsidR="00BC21DA">
        <w:rPr>
          <w:rFonts w:ascii="Times New Roman" w:hAnsi="Times New Roman" w:cs="Times New Roman"/>
          <w:sz w:val="24"/>
          <w:szCs w:val="24"/>
        </w:rPr>
        <w:tab/>
        <w:t xml:space="preserve">  8 proc.</w:t>
      </w:r>
    </w:p>
    <w:p w:rsidR="00AF131E" w:rsidRDefault="00AF131E" w:rsidP="006D453B">
      <w:pPr>
        <w:pStyle w:val="Akapitzlist"/>
        <w:numPr>
          <w:ilvl w:val="4"/>
          <w:numId w:val="22"/>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Piractwo w Internecie. Dostępność wielu treści za darmo</w:t>
      </w:r>
      <w:r>
        <w:rPr>
          <w:rFonts w:ascii="Times New Roman" w:hAnsi="Times New Roman" w:cs="Times New Roman"/>
          <w:sz w:val="24"/>
          <w:szCs w:val="24"/>
        </w:rPr>
        <w:tab/>
      </w:r>
      <w:r>
        <w:rPr>
          <w:rFonts w:ascii="Times New Roman" w:hAnsi="Times New Roman" w:cs="Times New Roman"/>
          <w:sz w:val="24"/>
          <w:szCs w:val="24"/>
        </w:rPr>
        <w:tab/>
      </w:r>
      <w:r w:rsidR="006D453B">
        <w:rPr>
          <w:rFonts w:ascii="Times New Roman" w:hAnsi="Times New Roman" w:cs="Times New Roman"/>
          <w:sz w:val="24"/>
          <w:szCs w:val="24"/>
        </w:rPr>
        <w:tab/>
      </w:r>
      <w:r w:rsidR="003B6AF7">
        <w:rPr>
          <w:rFonts w:ascii="Times New Roman" w:hAnsi="Times New Roman" w:cs="Times New Roman"/>
          <w:sz w:val="24"/>
          <w:szCs w:val="24"/>
        </w:rPr>
        <w:t xml:space="preserve">  </w:t>
      </w:r>
      <w:r>
        <w:rPr>
          <w:rFonts w:ascii="Times New Roman" w:hAnsi="Times New Roman" w:cs="Times New Roman"/>
          <w:sz w:val="24"/>
          <w:szCs w:val="24"/>
        </w:rPr>
        <w:t>4</w:t>
      </w:r>
      <w:r w:rsidR="00FE159B">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AF131E" w:rsidRDefault="00AF131E" w:rsidP="006D453B">
      <w:pPr>
        <w:pStyle w:val="Akapitzlist"/>
        <w:numPr>
          <w:ilvl w:val="4"/>
          <w:numId w:val="22"/>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Brak ustawy o książce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FE159B">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AF131E" w:rsidRDefault="00AF131E" w:rsidP="006D453B">
      <w:pPr>
        <w:pStyle w:val="Akapitzlist"/>
        <w:numPr>
          <w:ilvl w:val="4"/>
          <w:numId w:val="22"/>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Słabnięcie drukarń niezależnych i rośnięcie w siłę sieci hurtowni</w:t>
      </w:r>
      <w:r>
        <w:rPr>
          <w:rFonts w:ascii="Times New Roman" w:hAnsi="Times New Roman" w:cs="Times New Roman"/>
          <w:sz w:val="24"/>
          <w:szCs w:val="24"/>
        </w:rPr>
        <w:tab/>
      </w:r>
      <w:r w:rsidR="006D453B">
        <w:rPr>
          <w:rFonts w:ascii="Times New Roman" w:hAnsi="Times New Roman" w:cs="Times New Roman"/>
          <w:sz w:val="24"/>
          <w:szCs w:val="24"/>
        </w:rPr>
        <w:tab/>
      </w:r>
      <w:r w:rsidR="003B6AF7">
        <w:rPr>
          <w:rFonts w:ascii="Times New Roman" w:hAnsi="Times New Roman" w:cs="Times New Roman"/>
          <w:sz w:val="24"/>
          <w:szCs w:val="24"/>
        </w:rPr>
        <w:t xml:space="preserve">  </w:t>
      </w:r>
      <w:r>
        <w:rPr>
          <w:rFonts w:ascii="Times New Roman" w:hAnsi="Times New Roman" w:cs="Times New Roman"/>
          <w:sz w:val="24"/>
          <w:szCs w:val="24"/>
        </w:rPr>
        <w:t>2</w:t>
      </w:r>
      <w:r w:rsidR="00FE159B">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AF131E" w:rsidRDefault="00AF131E" w:rsidP="006D453B">
      <w:pPr>
        <w:pStyle w:val="Akapitzlist"/>
        <w:numPr>
          <w:ilvl w:val="4"/>
          <w:numId w:val="22"/>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  Obiektywnie zmniejszająca się liczba czytelników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FE159B">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AF131E" w:rsidRPr="00AF131E" w:rsidRDefault="00AF131E" w:rsidP="006D453B">
      <w:pPr>
        <w:pStyle w:val="Akapitzlist"/>
        <w:numPr>
          <w:ilvl w:val="4"/>
          <w:numId w:val="22"/>
        </w:numPr>
        <w:tabs>
          <w:tab w:val="left" w:pos="993"/>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Ogólny kryzys i brak kapitału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FE159B">
        <w:rPr>
          <w:rFonts w:ascii="Times New Roman" w:hAnsi="Times New Roman" w:cs="Times New Roman"/>
          <w:sz w:val="24"/>
          <w:szCs w:val="24"/>
        </w:rPr>
        <w:t xml:space="preserve"> </w:t>
      </w:r>
      <w:r w:rsidR="00BC21DA">
        <w:rPr>
          <w:rFonts w:ascii="Times New Roman" w:hAnsi="Times New Roman" w:cs="Times New Roman"/>
          <w:sz w:val="24"/>
          <w:szCs w:val="24"/>
        </w:rPr>
        <w:t>proc.</w:t>
      </w:r>
      <w:r w:rsidRPr="00AF131E">
        <w:rPr>
          <w:rFonts w:ascii="Times New Roman" w:hAnsi="Times New Roman" w:cs="Times New Roman"/>
          <w:sz w:val="24"/>
          <w:szCs w:val="24"/>
        </w:rPr>
        <w:tab/>
      </w:r>
      <w:r w:rsidRPr="00AF131E">
        <w:rPr>
          <w:rFonts w:ascii="Times New Roman" w:hAnsi="Times New Roman" w:cs="Times New Roman"/>
          <w:sz w:val="24"/>
          <w:szCs w:val="24"/>
        </w:rPr>
        <w:tab/>
      </w:r>
      <w:r w:rsidRPr="00AF131E">
        <w:rPr>
          <w:rFonts w:ascii="Times New Roman" w:hAnsi="Times New Roman" w:cs="Times New Roman"/>
          <w:sz w:val="24"/>
          <w:szCs w:val="24"/>
        </w:rPr>
        <w:tab/>
      </w:r>
    </w:p>
    <w:p w:rsidR="00801A32" w:rsidRPr="007E09CD" w:rsidRDefault="00801A32" w:rsidP="00AF131E">
      <w:pPr>
        <w:spacing w:after="0" w:line="360" w:lineRule="auto"/>
        <w:rPr>
          <w:rFonts w:ascii="Times New Roman" w:hAnsi="Times New Roman" w:cs="Times New Roman"/>
          <w:sz w:val="24"/>
          <w:szCs w:val="24"/>
        </w:rPr>
      </w:pPr>
    </w:p>
    <w:p w:rsidR="00F0389F" w:rsidRDefault="00AF131E" w:rsidP="00AF131E">
      <w:pPr>
        <w:pStyle w:val="Akapitzlist"/>
        <w:spacing w:line="240" w:lineRule="auto"/>
        <w:ind w:left="1224"/>
        <w:rPr>
          <w:rFonts w:ascii="Times New Roman" w:hAnsi="Times New Roman" w:cs="Times New Roman"/>
          <w:b/>
          <w:sz w:val="24"/>
          <w:szCs w:val="24"/>
        </w:rPr>
      </w:pPr>
      <w:r w:rsidRPr="00AF131E">
        <w:rPr>
          <w:rFonts w:ascii="Times New Roman" w:hAnsi="Times New Roman" w:cs="Times New Roman"/>
          <w:b/>
          <w:sz w:val="24"/>
          <w:szCs w:val="24"/>
        </w:rPr>
        <w:t>D</w:t>
      </w:r>
      <w:r w:rsidR="00F0389F" w:rsidRPr="00AF131E">
        <w:rPr>
          <w:rFonts w:ascii="Times New Roman" w:hAnsi="Times New Roman" w:cs="Times New Roman"/>
          <w:b/>
          <w:sz w:val="24"/>
          <w:szCs w:val="24"/>
        </w:rPr>
        <w:t>ziałania</w:t>
      </w:r>
      <w:r w:rsidRPr="00AF131E">
        <w:rPr>
          <w:rFonts w:ascii="Times New Roman" w:hAnsi="Times New Roman" w:cs="Times New Roman"/>
          <w:b/>
          <w:sz w:val="24"/>
          <w:szCs w:val="24"/>
        </w:rPr>
        <w:t xml:space="preserve"> jakimi</w:t>
      </w:r>
      <w:r w:rsidR="00F0389F" w:rsidRPr="00AF131E">
        <w:rPr>
          <w:rFonts w:ascii="Times New Roman" w:hAnsi="Times New Roman" w:cs="Times New Roman"/>
          <w:b/>
          <w:sz w:val="24"/>
          <w:szCs w:val="24"/>
        </w:rPr>
        <w:t xml:space="preserve"> powinna się zająć Polska Izba Książki, by ratować rynek wydawniczy:</w:t>
      </w:r>
    </w:p>
    <w:p w:rsidR="006D453B" w:rsidRDefault="00AF131E"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Wznowić intensywne prace nad wprowadzeniem ustawy o książce (czy jej odpowiednikom w postaci regulacji związanych ze stałymi cenami i rabatami handlowymi)</w:t>
      </w:r>
      <w:r w:rsidR="006D453B">
        <w:rPr>
          <w:rFonts w:ascii="Times New Roman" w:hAnsi="Times New Roman" w:cs="Times New Roman"/>
          <w:sz w:val="24"/>
          <w:szCs w:val="24"/>
        </w:rPr>
        <w:tab/>
      </w:r>
      <w:r w:rsidR="006D453B">
        <w:rPr>
          <w:rFonts w:ascii="Times New Roman" w:hAnsi="Times New Roman" w:cs="Times New Roman"/>
          <w:sz w:val="24"/>
          <w:szCs w:val="24"/>
        </w:rPr>
        <w:tab/>
      </w:r>
      <w:r w:rsidR="006D453B">
        <w:rPr>
          <w:rFonts w:ascii="Times New Roman" w:hAnsi="Times New Roman" w:cs="Times New Roman"/>
          <w:sz w:val="24"/>
          <w:szCs w:val="24"/>
        </w:rPr>
        <w:tab/>
      </w:r>
      <w:r w:rsidR="006D453B">
        <w:rPr>
          <w:rFonts w:ascii="Times New Roman" w:hAnsi="Times New Roman" w:cs="Times New Roman"/>
          <w:sz w:val="24"/>
          <w:szCs w:val="24"/>
        </w:rPr>
        <w:tab/>
      </w:r>
      <w:r w:rsidR="006D453B">
        <w:rPr>
          <w:rFonts w:ascii="Times New Roman" w:hAnsi="Times New Roman" w:cs="Times New Roman"/>
          <w:sz w:val="24"/>
          <w:szCs w:val="24"/>
        </w:rPr>
        <w:tab/>
      </w:r>
      <w:r w:rsidR="006D453B">
        <w:rPr>
          <w:rFonts w:ascii="Times New Roman" w:hAnsi="Times New Roman" w:cs="Times New Roman"/>
          <w:sz w:val="24"/>
          <w:szCs w:val="24"/>
        </w:rPr>
        <w:tab/>
      </w:r>
      <w:r w:rsidR="006D453B">
        <w:rPr>
          <w:rFonts w:ascii="Times New Roman" w:hAnsi="Times New Roman" w:cs="Times New Roman"/>
          <w:sz w:val="24"/>
          <w:szCs w:val="24"/>
        </w:rPr>
        <w:tab/>
      </w:r>
      <w:r w:rsidR="006D453B">
        <w:rPr>
          <w:rFonts w:ascii="Times New Roman" w:hAnsi="Times New Roman" w:cs="Times New Roman"/>
          <w:sz w:val="24"/>
          <w:szCs w:val="24"/>
        </w:rPr>
        <w:tab/>
      </w:r>
      <w:r w:rsidR="006D453B">
        <w:rPr>
          <w:rFonts w:ascii="Times New Roman" w:hAnsi="Times New Roman" w:cs="Times New Roman"/>
          <w:sz w:val="24"/>
          <w:szCs w:val="24"/>
        </w:rPr>
        <w:tab/>
        <w:t>21,05</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AF131E" w:rsidRDefault="006D453B"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Lobbować na rzecz wspierania rynku księgarskiego – stosowanie preferencyjnych stawek czynszu, zwolnień podatkowych itd.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19,30</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801A32" w:rsidRDefault="006D453B"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Zgłaszać zawiadomienia o nieuczciwych praktykach działania niektórych podmiotów do instytucji regulujących prawidłowy rozwój rynku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19,30</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6D453B" w:rsidRDefault="006D453B"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Przeprowadzić szkolenia w zakresie nowych technologii i nowych modeli biznesowych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10,54</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6D453B" w:rsidRDefault="006D453B"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Przeprowadzić szkolenia dla księgarń w zakresie zmiany modelu biznesu, wzorem księgarń w Wielkiej Brytanii, Francji czy Niemiec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10,54</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6D453B" w:rsidRDefault="008C268D"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Walczyć z piractwem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5,26</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8C268D" w:rsidRDefault="008C268D"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Lobbować na rzecz promocji czytelnictwa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3,51</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8C268D" w:rsidRDefault="008C268D"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Walczyć o interwencję Państwa na rzecz wyrównania szans w absolutnie nierównej prze pomiędzy wydawcami, a sieciami hurtowymi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1,75</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8C268D" w:rsidRDefault="008C268D"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Walczyć o zniesienie VAT-u na książki i e-booki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1,75</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DC7884" w:rsidRPr="00DC7884" w:rsidRDefault="00DC7884" w:rsidP="00DC7884">
      <w:pPr>
        <w:pStyle w:val="Akapitzlist"/>
        <w:rPr>
          <w:rFonts w:ascii="Times New Roman" w:hAnsi="Times New Roman" w:cs="Times New Roman"/>
          <w:sz w:val="24"/>
          <w:szCs w:val="24"/>
        </w:rPr>
      </w:pPr>
    </w:p>
    <w:p w:rsidR="008C268D" w:rsidRDefault="008C268D"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lastRenderedPageBreak/>
        <w:t>Umożliwić wydawcom wystawianie książek na targach zagranicznych</w:t>
      </w:r>
      <w:r>
        <w:rPr>
          <w:rFonts w:ascii="Times New Roman" w:hAnsi="Times New Roman" w:cs="Times New Roman"/>
          <w:sz w:val="24"/>
          <w:szCs w:val="24"/>
        </w:rPr>
        <w:tab/>
        <w:t xml:space="preserve">  1,75</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8C268D" w:rsidRDefault="008C268D"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Lobbować na rzecz wzrostu nakładów na zakupy biblioteczne</w:t>
      </w:r>
      <w:r>
        <w:rPr>
          <w:rFonts w:ascii="Times New Roman" w:hAnsi="Times New Roman" w:cs="Times New Roman"/>
          <w:sz w:val="24"/>
          <w:szCs w:val="24"/>
        </w:rPr>
        <w:tab/>
      </w:r>
      <w:r>
        <w:rPr>
          <w:rFonts w:ascii="Times New Roman" w:hAnsi="Times New Roman" w:cs="Times New Roman"/>
          <w:sz w:val="24"/>
          <w:szCs w:val="24"/>
        </w:rPr>
        <w:tab/>
        <w:t xml:space="preserve">  1,75</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8C268D" w:rsidRDefault="008C268D"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Czuwać nad propozycjami aktów prawnych pojawiających się w MAiC, MEN, MKiDN, MNiSW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1,75</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8C268D" w:rsidRDefault="008C268D" w:rsidP="006D453B">
      <w:pPr>
        <w:pStyle w:val="Akapitzlist"/>
        <w:numPr>
          <w:ilvl w:val="4"/>
          <w:numId w:val="26"/>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Zwiększać świadomość w zakresie ochrony własności intelektualnej</w:t>
      </w:r>
      <w:r>
        <w:rPr>
          <w:rFonts w:ascii="Times New Roman" w:hAnsi="Times New Roman" w:cs="Times New Roman"/>
          <w:sz w:val="24"/>
          <w:szCs w:val="24"/>
        </w:rPr>
        <w:tab/>
        <w:t xml:space="preserve">  1,75</w:t>
      </w:r>
      <w:r w:rsidR="009105C7">
        <w:rPr>
          <w:rFonts w:ascii="Times New Roman" w:hAnsi="Times New Roman" w:cs="Times New Roman"/>
          <w:sz w:val="24"/>
          <w:szCs w:val="24"/>
        </w:rPr>
        <w:t xml:space="preserve"> </w:t>
      </w:r>
      <w:r w:rsidR="00BC21DA">
        <w:rPr>
          <w:rFonts w:ascii="Times New Roman" w:hAnsi="Times New Roman" w:cs="Times New Roman"/>
          <w:sz w:val="24"/>
          <w:szCs w:val="24"/>
        </w:rPr>
        <w:t>proc.</w:t>
      </w:r>
    </w:p>
    <w:p w:rsidR="008C268D" w:rsidRDefault="008C268D" w:rsidP="008C268D">
      <w:pPr>
        <w:pStyle w:val="Akapitzlist"/>
        <w:spacing w:after="0" w:line="240" w:lineRule="auto"/>
        <w:ind w:left="709"/>
        <w:rPr>
          <w:rFonts w:ascii="Times New Roman" w:hAnsi="Times New Roman" w:cs="Times New Roman"/>
          <w:sz w:val="24"/>
          <w:szCs w:val="24"/>
        </w:rPr>
      </w:pPr>
    </w:p>
    <w:p w:rsidR="008C268D" w:rsidRDefault="008C268D" w:rsidP="008C268D">
      <w:pPr>
        <w:pStyle w:val="Akapitzlist"/>
        <w:spacing w:after="0" w:line="240" w:lineRule="auto"/>
        <w:ind w:left="709"/>
        <w:rPr>
          <w:rFonts w:ascii="Times New Roman" w:hAnsi="Times New Roman" w:cs="Times New Roman"/>
          <w:sz w:val="24"/>
          <w:szCs w:val="24"/>
        </w:rPr>
      </w:pPr>
    </w:p>
    <w:p w:rsidR="008C268D" w:rsidRDefault="008C268D"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Komentarz do wyników wymienionej ankiety </w:t>
      </w:r>
      <w:r w:rsidR="00FC4860">
        <w:rPr>
          <w:rFonts w:ascii="Times New Roman" w:hAnsi="Times New Roman" w:cs="Times New Roman"/>
          <w:sz w:val="24"/>
          <w:szCs w:val="24"/>
        </w:rPr>
        <w:t>na dwa pytania jest wspólny</w:t>
      </w:r>
      <w:r w:rsidR="00DC7884">
        <w:rPr>
          <w:rFonts w:ascii="Times New Roman" w:hAnsi="Times New Roman" w:cs="Times New Roman"/>
          <w:sz w:val="24"/>
          <w:szCs w:val="24"/>
        </w:rPr>
        <w:t>,</w:t>
      </w:r>
      <w:r w:rsidR="00FC4860">
        <w:rPr>
          <w:rFonts w:ascii="Times New Roman" w:hAnsi="Times New Roman" w:cs="Times New Roman"/>
          <w:sz w:val="24"/>
          <w:szCs w:val="24"/>
        </w:rPr>
        <w:t xml:space="preserve"> ponieważ zachodzą lub powinny zachodzić korelacje pomiędzy podnoszonymi problemami.</w:t>
      </w:r>
    </w:p>
    <w:p w:rsidR="00FC4860" w:rsidRDefault="00FC4860"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Najpierw o braku wydawałoby się oczywistych korelacji. Jeżeli za główne zło na rynku wydaw</w:t>
      </w:r>
      <w:r w:rsidR="00BC21DA">
        <w:rPr>
          <w:rFonts w:ascii="Times New Roman" w:hAnsi="Times New Roman" w:cs="Times New Roman"/>
          <w:sz w:val="24"/>
          <w:szCs w:val="24"/>
        </w:rPr>
        <w:t>niczym odpowiada wprowadzenie 5 proc. stawki VAT – 30 proc.</w:t>
      </w:r>
      <w:r>
        <w:rPr>
          <w:rFonts w:ascii="Times New Roman" w:hAnsi="Times New Roman" w:cs="Times New Roman"/>
          <w:sz w:val="24"/>
          <w:szCs w:val="24"/>
        </w:rPr>
        <w:t xml:space="preserve"> wskazań, to dlaczego t</w:t>
      </w:r>
      <w:r w:rsidR="00BC21DA">
        <w:rPr>
          <w:rFonts w:ascii="Times New Roman" w:hAnsi="Times New Roman" w:cs="Times New Roman"/>
          <w:sz w:val="24"/>
          <w:szCs w:val="24"/>
        </w:rPr>
        <w:t>ylko 1,75 proc.</w:t>
      </w:r>
      <w:r>
        <w:rPr>
          <w:rFonts w:ascii="Times New Roman" w:hAnsi="Times New Roman" w:cs="Times New Roman"/>
          <w:sz w:val="24"/>
          <w:szCs w:val="24"/>
        </w:rPr>
        <w:t xml:space="preserve"> wskazań zaleca PIK walczyć z tą sytuacją. Podobnie jest z u</w:t>
      </w:r>
      <w:r w:rsidR="00BC21DA">
        <w:rPr>
          <w:rFonts w:ascii="Times New Roman" w:hAnsi="Times New Roman" w:cs="Times New Roman"/>
          <w:sz w:val="24"/>
          <w:szCs w:val="24"/>
        </w:rPr>
        <w:t>stawą o książce, jeżeli tylko 2 proc.</w:t>
      </w:r>
      <w:r>
        <w:rPr>
          <w:rFonts w:ascii="Times New Roman" w:hAnsi="Times New Roman" w:cs="Times New Roman"/>
          <w:sz w:val="24"/>
          <w:szCs w:val="24"/>
        </w:rPr>
        <w:t xml:space="preserve"> respondentów wskazuje jej brak jako przyc</w:t>
      </w:r>
      <w:r w:rsidR="00BC21DA">
        <w:rPr>
          <w:rFonts w:ascii="Times New Roman" w:hAnsi="Times New Roman" w:cs="Times New Roman"/>
          <w:sz w:val="24"/>
          <w:szCs w:val="24"/>
        </w:rPr>
        <w:t>zynę kryzysu, to dlaczego 21,05 proc.</w:t>
      </w:r>
      <w:r>
        <w:rPr>
          <w:rFonts w:ascii="Times New Roman" w:hAnsi="Times New Roman" w:cs="Times New Roman"/>
          <w:sz w:val="24"/>
          <w:szCs w:val="24"/>
        </w:rPr>
        <w:t xml:space="preserve"> wskazuje jako główne zadanie dla </w:t>
      </w:r>
      <w:r w:rsidR="000164A5">
        <w:rPr>
          <w:rFonts w:ascii="Times New Roman" w:hAnsi="Times New Roman" w:cs="Times New Roman"/>
          <w:sz w:val="24"/>
          <w:szCs w:val="24"/>
        </w:rPr>
        <w:t>PIK – nie</w:t>
      </w:r>
      <w:r>
        <w:rPr>
          <w:rFonts w:ascii="Times New Roman" w:hAnsi="Times New Roman" w:cs="Times New Roman"/>
          <w:sz w:val="24"/>
          <w:szCs w:val="24"/>
        </w:rPr>
        <w:t xml:space="preserve"> szkoda wysiłku?</w:t>
      </w:r>
    </w:p>
    <w:p w:rsidR="001C5B39" w:rsidRDefault="001C5B39"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Z odpowiedzi na jedno i drugie pytanie przebija „pretensja” do mechanizmów rynkowych. Inni wyprzedają lub stosują niskie ceny – trzeba zabronić, dać nam lokale o niskich czynszach, stosować dopłaty, stosować zwolnienia podatkowe, ustawić sztywno rabaty hurtowe, ustalić stałe ceny – to są główne postulaty. Czy są one możliwe do spełnienia? Czy ich wprowadzenie nie doprowadziłoby do nowego „KRUS-u” gdzie nowy „</w:t>
      </w:r>
      <w:r w:rsidR="00572D05">
        <w:rPr>
          <w:rFonts w:ascii="Times New Roman" w:hAnsi="Times New Roman" w:cs="Times New Roman"/>
          <w:sz w:val="24"/>
          <w:szCs w:val="24"/>
        </w:rPr>
        <w:t>księgarz</w:t>
      </w:r>
      <w:r>
        <w:rPr>
          <w:rFonts w:ascii="Times New Roman" w:hAnsi="Times New Roman" w:cs="Times New Roman"/>
          <w:sz w:val="24"/>
          <w:szCs w:val="24"/>
        </w:rPr>
        <w:t>” (w KRUS-ie rolnik z Marszałkowskiej) w pomieszczeniu bibliotecznym o obniżonej stawce czynszu na kilku metrach miałby parę książek do sprzedania, a na kilkuset metrach hodow</w:t>
      </w:r>
      <w:r w:rsidR="00DC7884">
        <w:rPr>
          <w:rFonts w:ascii="Times New Roman" w:hAnsi="Times New Roman" w:cs="Times New Roman"/>
          <w:sz w:val="24"/>
          <w:szCs w:val="24"/>
        </w:rPr>
        <w:t>ałby pieczarki? Polak potrafi!</w:t>
      </w:r>
    </w:p>
    <w:p w:rsidR="001C5B39" w:rsidRDefault="001C5B39"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Sama nazwa wskazuje, że rynek książki to jest rynek</w:t>
      </w:r>
      <w:r w:rsidR="00E46072">
        <w:rPr>
          <w:rFonts w:ascii="Times New Roman" w:hAnsi="Times New Roman" w:cs="Times New Roman"/>
          <w:sz w:val="24"/>
          <w:szCs w:val="24"/>
        </w:rPr>
        <w:t>, więc należy stosować zasady rynku. Nie oznacza to, że problem rynku książki należy zostawić wyłącznie grze rynkowej, tylko regulacje powinny być też rynkowe.</w:t>
      </w:r>
    </w:p>
    <w:p w:rsidR="00E46072" w:rsidRDefault="00E46072"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Zadziwiająco mało jest wskazań na doskonalenie biznesu, szkolenie, podglądanie jak działają i radzą sobie inni, opracowywanie strategii. Zadziwiająco mało jest wskazywania przyczyn i oczekiwań od PIK związanych ze wspólnym rynkiem UE. Czy bardziej globalne (na wielu płaszczyznach) działanie jest niecelowe lub niemożliwe?</w:t>
      </w:r>
    </w:p>
    <w:p w:rsidR="00E46072" w:rsidRDefault="000E3250"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Jest pretensja do Empiku, że wchodzi na teren wydawniczy (zresztą nie tylko ta jedna hurtownia), a dlaczego wydawcy nie powołają wspólnie własnej hurtowni</w:t>
      </w:r>
      <w:r w:rsidR="00527260">
        <w:rPr>
          <w:rFonts w:ascii="Times New Roman" w:hAnsi="Times New Roman" w:cs="Times New Roman"/>
          <w:sz w:val="24"/>
          <w:szCs w:val="24"/>
        </w:rPr>
        <w:t>, która zmniejszy koncentrację rynku hurtowego</w:t>
      </w:r>
      <w:r>
        <w:rPr>
          <w:rFonts w:ascii="Times New Roman" w:hAnsi="Times New Roman" w:cs="Times New Roman"/>
          <w:sz w:val="24"/>
          <w:szCs w:val="24"/>
        </w:rPr>
        <w:t xml:space="preserve">? Skąd pieniądze? W żadnym </w:t>
      </w:r>
      <w:r w:rsidR="00572D05">
        <w:rPr>
          <w:rFonts w:ascii="Times New Roman" w:hAnsi="Times New Roman" w:cs="Times New Roman"/>
          <w:sz w:val="24"/>
          <w:szCs w:val="24"/>
        </w:rPr>
        <w:t xml:space="preserve">wskazaniu </w:t>
      </w:r>
      <w:r>
        <w:rPr>
          <w:rFonts w:ascii="Times New Roman" w:hAnsi="Times New Roman" w:cs="Times New Roman"/>
          <w:sz w:val="24"/>
          <w:szCs w:val="24"/>
        </w:rPr>
        <w:t>nie jest poruszana możliwość rozwiązywania problemów poprzez korzystanie ze środków UE</w:t>
      </w:r>
      <w:r w:rsidR="00527260">
        <w:rPr>
          <w:rFonts w:ascii="Times New Roman" w:hAnsi="Times New Roman" w:cs="Times New Roman"/>
          <w:sz w:val="24"/>
          <w:szCs w:val="24"/>
        </w:rPr>
        <w:t>. W obecnej perspektywie 2007-2013 wydawnictwa w zasadzie nie korzystały z tych środków, w nowej perspektywie 2014-2020 są dla Polski duże pieniądze (wszyscy mówią, że ostatnie pieniądze z UE) i one są m.in. na wyrównywanie szans. Już obecnie należy się przygotowywać do ich wykorzystania, to nie są pieniądze wyłącznie dla przedsiębiorstw produkcyjnych lub uczelni, to są też pieniądze dla wydawnictw, dla bibliotek, dla promocji czytelnictwa.</w:t>
      </w:r>
      <w:r w:rsidR="0027212F">
        <w:rPr>
          <w:rFonts w:ascii="Times New Roman" w:hAnsi="Times New Roman" w:cs="Times New Roman"/>
          <w:sz w:val="24"/>
          <w:szCs w:val="24"/>
        </w:rPr>
        <w:t xml:space="preserve"> Ale trzeba się już dziś do tego przygotowywać.</w:t>
      </w:r>
    </w:p>
    <w:p w:rsidR="00527260" w:rsidRDefault="00527260"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Bardzo bolesnym problemem dla wydawców, ale także dla poligrafii</w:t>
      </w:r>
      <w:r w:rsidR="001805AB">
        <w:rPr>
          <w:rFonts w:ascii="Times New Roman" w:hAnsi="Times New Roman" w:cs="Times New Roman"/>
          <w:sz w:val="24"/>
          <w:szCs w:val="24"/>
        </w:rPr>
        <w:t>,</w:t>
      </w:r>
      <w:r>
        <w:rPr>
          <w:rFonts w:ascii="Times New Roman" w:hAnsi="Times New Roman" w:cs="Times New Roman"/>
          <w:sz w:val="24"/>
          <w:szCs w:val="24"/>
        </w:rPr>
        <w:t xml:space="preserve"> jest wydłużanie terminów płatności w umowach i jeszcze nieterminowe (w stosunku do długich termin</w:t>
      </w:r>
      <w:r w:rsidR="00BC21DA">
        <w:rPr>
          <w:rFonts w:ascii="Times New Roman" w:hAnsi="Times New Roman" w:cs="Times New Roman"/>
          <w:sz w:val="24"/>
          <w:szCs w:val="24"/>
        </w:rPr>
        <w:t>ów) regulowanie zobowiązań – 28 proc.</w:t>
      </w:r>
      <w:r>
        <w:rPr>
          <w:rFonts w:ascii="Times New Roman" w:hAnsi="Times New Roman" w:cs="Times New Roman"/>
          <w:sz w:val="24"/>
          <w:szCs w:val="24"/>
        </w:rPr>
        <w:t xml:space="preserve"> wskazań jako jedna z głównych przyczyn kryzysu rynku książki. C</w:t>
      </w:r>
      <w:r w:rsidR="0027212F">
        <w:rPr>
          <w:rFonts w:ascii="Times New Roman" w:hAnsi="Times New Roman" w:cs="Times New Roman"/>
          <w:sz w:val="24"/>
          <w:szCs w:val="24"/>
        </w:rPr>
        <w:t>zy coś</w:t>
      </w:r>
      <w:r>
        <w:rPr>
          <w:rFonts w:ascii="Times New Roman" w:hAnsi="Times New Roman" w:cs="Times New Roman"/>
          <w:sz w:val="24"/>
          <w:szCs w:val="24"/>
        </w:rPr>
        <w:t xml:space="preserve"> z tym </w:t>
      </w:r>
      <w:r w:rsidR="00D672F2">
        <w:rPr>
          <w:rFonts w:ascii="Times New Roman" w:hAnsi="Times New Roman" w:cs="Times New Roman"/>
          <w:sz w:val="24"/>
          <w:szCs w:val="24"/>
        </w:rPr>
        <w:t xml:space="preserve">można </w:t>
      </w:r>
      <w:r w:rsidR="002021DE">
        <w:rPr>
          <w:rFonts w:ascii="Times New Roman" w:hAnsi="Times New Roman" w:cs="Times New Roman"/>
          <w:sz w:val="24"/>
          <w:szCs w:val="24"/>
        </w:rPr>
        <w:t>z</w:t>
      </w:r>
      <w:r>
        <w:rPr>
          <w:rFonts w:ascii="Times New Roman" w:hAnsi="Times New Roman" w:cs="Times New Roman"/>
          <w:sz w:val="24"/>
          <w:szCs w:val="24"/>
        </w:rPr>
        <w:t xml:space="preserve">robić, a nie tylko oczekiwać, że rząd wyda stosowne rozporządzenie? Przyczyn tego stanu rzeczy jest kilka, ale dwie są najistotniejsze. Pierwsza przyczyna to </w:t>
      </w:r>
      <w:r w:rsidR="00614B9C">
        <w:rPr>
          <w:rFonts w:ascii="Times New Roman" w:hAnsi="Times New Roman" w:cs="Times New Roman"/>
          <w:sz w:val="24"/>
          <w:szCs w:val="24"/>
        </w:rPr>
        <w:t>monopolistyczne praktyki hurtowni przy braku konkurencji. Druga przyczyna to struktura</w:t>
      </w:r>
      <w:r w:rsidR="002021DE">
        <w:rPr>
          <w:rFonts w:ascii="Times New Roman" w:hAnsi="Times New Roman" w:cs="Times New Roman"/>
          <w:sz w:val="24"/>
          <w:szCs w:val="24"/>
        </w:rPr>
        <w:t xml:space="preserve"> i </w:t>
      </w:r>
      <w:r w:rsidR="000164A5">
        <w:rPr>
          <w:rFonts w:ascii="Times New Roman" w:hAnsi="Times New Roman" w:cs="Times New Roman"/>
          <w:sz w:val="24"/>
          <w:szCs w:val="24"/>
        </w:rPr>
        <w:t>droga przepływów</w:t>
      </w:r>
      <w:r w:rsidR="00614B9C">
        <w:rPr>
          <w:rFonts w:ascii="Times New Roman" w:hAnsi="Times New Roman" w:cs="Times New Roman"/>
          <w:sz w:val="24"/>
          <w:szCs w:val="24"/>
        </w:rPr>
        <w:t xml:space="preserve"> finansowych w działalności na rynku książki. </w:t>
      </w:r>
      <w:r w:rsidR="001805AB">
        <w:rPr>
          <w:rFonts w:ascii="Times New Roman" w:hAnsi="Times New Roman" w:cs="Times New Roman"/>
          <w:sz w:val="24"/>
          <w:szCs w:val="24"/>
        </w:rPr>
        <w:t>T</w:t>
      </w:r>
      <w:r w:rsidR="00614B9C">
        <w:rPr>
          <w:rFonts w:ascii="Times New Roman" w:hAnsi="Times New Roman" w:cs="Times New Roman"/>
          <w:sz w:val="24"/>
          <w:szCs w:val="24"/>
        </w:rPr>
        <w:t xml:space="preserve">rzeba wydać wcześnie pieniądze na materiały (wydawnictwa kupują </w:t>
      </w:r>
      <w:r w:rsidR="0027212F">
        <w:rPr>
          <w:rFonts w:ascii="Times New Roman" w:hAnsi="Times New Roman" w:cs="Times New Roman"/>
          <w:sz w:val="24"/>
          <w:szCs w:val="24"/>
        </w:rPr>
        <w:t>czasami</w:t>
      </w:r>
      <w:r w:rsidR="00614B9C">
        <w:rPr>
          <w:rFonts w:ascii="Times New Roman" w:hAnsi="Times New Roman" w:cs="Times New Roman"/>
          <w:sz w:val="24"/>
          <w:szCs w:val="24"/>
        </w:rPr>
        <w:t xml:space="preserve"> papier) i usługi, a powrót tych pieniędzy od czytelnika do wydawcy ma długą drogę. Może jakimś rozwiązaniem dla zwiększenia płynności finansowej </w:t>
      </w:r>
      <w:r w:rsidR="00D672F2">
        <w:rPr>
          <w:rFonts w:ascii="Times New Roman" w:hAnsi="Times New Roman" w:cs="Times New Roman"/>
          <w:sz w:val="24"/>
          <w:szCs w:val="24"/>
        </w:rPr>
        <w:t xml:space="preserve">wydawnictw </w:t>
      </w:r>
      <w:r w:rsidR="00614B9C">
        <w:rPr>
          <w:rFonts w:ascii="Times New Roman" w:hAnsi="Times New Roman" w:cs="Times New Roman"/>
          <w:sz w:val="24"/>
          <w:szCs w:val="24"/>
        </w:rPr>
        <w:t>byłoby większe korzystanie z factoringu, ale poprzez instytucję związaną z wydawnictwami – aby przynajmniej część opłat factoringowych mogła do tych wydawnictw wrócić? Znowu może należy szukać wsparcia w pieniądzach z UE.</w:t>
      </w:r>
    </w:p>
    <w:p w:rsidR="00614B9C" w:rsidRDefault="00614B9C"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Jak najbardziej słuszne jest oczekiwanie na wszelkie działania lobbowania na rzecz czytelnictwa, bibliotek, poszano</w:t>
      </w:r>
      <w:r w:rsidR="002021DE">
        <w:rPr>
          <w:rFonts w:ascii="Times New Roman" w:hAnsi="Times New Roman" w:cs="Times New Roman"/>
          <w:sz w:val="24"/>
          <w:szCs w:val="24"/>
        </w:rPr>
        <w:t>wania własności intelektualnej.</w:t>
      </w:r>
      <w:r w:rsidR="00D672F2">
        <w:rPr>
          <w:rFonts w:ascii="Times New Roman" w:hAnsi="Times New Roman" w:cs="Times New Roman"/>
          <w:sz w:val="24"/>
          <w:szCs w:val="24"/>
        </w:rPr>
        <w:t xml:space="preserve"> Rozwiązania systemowe, ale nie rozporządzenia, powinny dotyczyć różnego rodzaju działalności niszowych i kulturotwórczych, wydań specjalnych spełniających nie tylko rolę zaspakajania potrzeb czytelniczych.</w:t>
      </w:r>
    </w:p>
    <w:p w:rsidR="002021DE" w:rsidRDefault="002021DE"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Jak na początku wspomniano</w:t>
      </w:r>
      <w:r w:rsidR="001805AB">
        <w:rPr>
          <w:rFonts w:ascii="Times New Roman" w:hAnsi="Times New Roman" w:cs="Times New Roman"/>
          <w:sz w:val="24"/>
          <w:szCs w:val="24"/>
        </w:rPr>
        <w:t>,</w:t>
      </w:r>
      <w:r>
        <w:rPr>
          <w:rFonts w:ascii="Times New Roman" w:hAnsi="Times New Roman" w:cs="Times New Roman"/>
          <w:sz w:val="24"/>
          <w:szCs w:val="24"/>
        </w:rPr>
        <w:t xml:space="preserve"> niniejsze opracowanie nie zawiera odniesienia się do dynamicznie rozwijającego się, ale jeszcze bardzo małego rynku e-booków. Na dziś ten problem </w:t>
      </w:r>
      <w:r w:rsidR="00D672F2">
        <w:rPr>
          <w:rFonts w:ascii="Times New Roman" w:hAnsi="Times New Roman" w:cs="Times New Roman"/>
          <w:sz w:val="24"/>
          <w:szCs w:val="24"/>
        </w:rPr>
        <w:t xml:space="preserve">dla wielu </w:t>
      </w:r>
      <w:r w:rsidR="000164A5">
        <w:rPr>
          <w:rFonts w:ascii="Times New Roman" w:hAnsi="Times New Roman" w:cs="Times New Roman"/>
          <w:sz w:val="24"/>
          <w:szCs w:val="24"/>
        </w:rPr>
        <w:t>wydawców jest</w:t>
      </w:r>
      <w:r>
        <w:rPr>
          <w:rFonts w:ascii="Times New Roman" w:hAnsi="Times New Roman" w:cs="Times New Roman"/>
          <w:sz w:val="24"/>
          <w:szCs w:val="24"/>
        </w:rPr>
        <w:t xml:space="preserve"> bardziej postrzegany jako zagrożenie związane z piractwem niż potencjalne źródło przychodów. Ale ze sprawą własności intelektualnej i wolności internetowej trzeba się już mierzyć w konstruktywnych rozwiązaniach. Ten problem sam się nie rozwiąże.</w:t>
      </w:r>
    </w:p>
    <w:p w:rsidR="00FE159B" w:rsidRDefault="00FE159B" w:rsidP="00BC21DA">
      <w:pPr>
        <w:pStyle w:val="Akapitzlist"/>
        <w:spacing w:line="360" w:lineRule="auto"/>
        <w:ind w:left="0" w:firstLine="360"/>
        <w:jc w:val="both"/>
        <w:rPr>
          <w:rFonts w:ascii="Times New Roman" w:hAnsi="Times New Roman" w:cs="Times New Roman"/>
          <w:sz w:val="24"/>
          <w:szCs w:val="24"/>
        </w:rPr>
      </w:pPr>
    </w:p>
    <w:p w:rsidR="00D672F2" w:rsidRDefault="00D672F2" w:rsidP="00BC21DA">
      <w:pPr>
        <w:pStyle w:val="Akapitzlist"/>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Dziękuję tym, którzy </w:t>
      </w:r>
      <w:r w:rsidR="007A7317">
        <w:rPr>
          <w:rFonts w:ascii="Times New Roman" w:hAnsi="Times New Roman" w:cs="Times New Roman"/>
          <w:sz w:val="24"/>
          <w:szCs w:val="24"/>
        </w:rPr>
        <w:t>jeszcze te słowa czytają. Dziękuję tym, którzy zechcą podzielić się własnym spojrzeniem na poruszone w całym opracowaniu zagadnienia.</w:t>
      </w:r>
    </w:p>
    <w:p w:rsidR="00D672F2" w:rsidRDefault="00D672F2" w:rsidP="00FC4860">
      <w:pPr>
        <w:pStyle w:val="Akapitzlist"/>
        <w:spacing w:line="360" w:lineRule="auto"/>
        <w:ind w:left="0" w:firstLine="360"/>
        <w:rPr>
          <w:rFonts w:ascii="Times New Roman" w:hAnsi="Times New Roman" w:cs="Times New Roman"/>
          <w:sz w:val="24"/>
          <w:szCs w:val="24"/>
        </w:rPr>
      </w:pPr>
    </w:p>
    <w:p w:rsidR="007A7317" w:rsidRDefault="00D672F2" w:rsidP="00FC4860">
      <w:pPr>
        <w:pStyle w:val="Akapitzlist"/>
        <w:spacing w:line="360" w:lineRule="auto"/>
        <w:ind w:left="0" w:firstLine="360"/>
        <w:rPr>
          <w:rFonts w:ascii="Times New Roman" w:hAnsi="Times New Roman" w:cs="Times New Roman"/>
          <w:sz w:val="24"/>
          <w:szCs w:val="24"/>
        </w:rPr>
      </w:pPr>
      <w:r>
        <w:rPr>
          <w:rFonts w:ascii="Times New Roman" w:hAnsi="Times New Roman" w:cs="Times New Roman"/>
          <w:sz w:val="24"/>
          <w:szCs w:val="24"/>
        </w:rPr>
        <w:t xml:space="preserve">Warszawa, październik </w:t>
      </w:r>
      <w:r w:rsidR="007A7317">
        <w:rPr>
          <w:rFonts w:ascii="Times New Roman" w:hAnsi="Times New Roman" w:cs="Times New Roman"/>
          <w:sz w:val="24"/>
          <w:szCs w:val="24"/>
        </w:rPr>
        <w:t>2013</w:t>
      </w:r>
      <w:r w:rsidR="00FE159B">
        <w:rPr>
          <w:rFonts w:ascii="Times New Roman" w:hAnsi="Times New Roman" w:cs="Times New Roman"/>
          <w:sz w:val="24"/>
          <w:szCs w:val="24"/>
        </w:rPr>
        <w:t xml:space="preserve"> r.</w:t>
      </w:r>
      <w:r w:rsidR="007A7317">
        <w:rPr>
          <w:rFonts w:ascii="Times New Roman" w:hAnsi="Times New Roman" w:cs="Times New Roman"/>
          <w:sz w:val="24"/>
          <w:szCs w:val="24"/>
        </w:rPr>
        <w:tab/>
      </w:r>
      <w:r w:rsidR="007A7317">
        <w:rPr>
          <w:rFonts w:ascii="Times New Roman" w:hAnsi="Times New Roman" w:cs="Times New Roman"/>
          <w:sz w:val="24"/>
          <w:szCs w:val="24"/>
        </w:rPr>
        <w:tab/>
      </w:r>
      <w:r w:rsidR="007A7317">
        <w:rPr>
          <w:rFonts w:ascii="Times New Roman" w:hAnsi="Times New Roman" w:cs="Times New Roman"/>
          <w:sz w:val="24"/>
          <w:szCs w:val="24"/>
        </w:rPr>
        <w:tab/>
      </w:r>
      <w:r w:rsidR="007A7317">
        <w:rPr>
          <w:rFonts w:ascii="Times New Roman" w:hAnsi="Times New Roman" w:cs="Times New Roman"/>
          <w:sz w:val="24"/>
          <w:szCs w:val="24"/>
        </w:rPr>
        <w:tab/>
      </w:r>
    </w:p>
    <w:p w:rsidR="00D672F2" w:rsidRPr="006D453B" w:rsidRDefault="007A7317" w:rsidP="007A7317">
      <w:pPr>
        <w:pStyle w:val="Akapitzlist"/>
        <w:spacing w:line="360" w:lineRule="auto"/>
        <w:ind w:left="0" w:firstLine="360"/>
        <w:jc w:val="right"/>
        <w:rPr>
          <w:rFonts w:ascii="Times New Roman" w:hAnsi="Times New Roman" w:cs="Times New Roman"/>
          <w:sz w:val="24"/>
          <w:szCs w:val="24"/>
        </w:rPr>
      </w:pPr>
      <w:r>
        <w:rPr>
          <w:rFonts w:ascii="Times New Roman" w:hAnsi="Times New Roman" w:cs="Times New Roman"/>
          <w:sz w:val="24"/>
          <w:szCs w:val="24"/>
        </w:rPr>
        <w:t>Bernard Jóźwiak</w:t>
      </w:r>
    </w:p>
    <w:sectPr w:rsidR="00D672F2" w:rsidRPr="006D453B" w:rsidSect="00823D47">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64" w:rsidRDefault="00214E64" w:rsidP="00F57D97">
      <w:pPr>
        <w:spacing w:after="0" w:line="240" w:lineRule="auto"/>
      </w:pPr>
      <w:r>
        <w:separator/>
      </w:r>
    </w:p>
  </w:endnote>
  <w:endnote w:type="continuationSeparator" w:id="0">
    <w:p w:rsidR="00214E64" w:rsidRDefault="00214E64" w:rsidP="00F5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D1" w:rsidRPr="00B833EB" w:rsidRDefault="005E703F" w:rsidP="00B833EB">
    <w:pPr>
      <w:pStyle w:val="Bezodstpw"/>
      <w:jc w:val="center"/>
      <w:rPr>
        <w:rFonts w:asciiTheme="minorHAnsi" w:hAnsiTheme="minorHAnsi"/>
        <w:sz w:val="20"/>
        <w:szCs w:val="20"/>
      </w:rPr>
    </w:pPr>
    <w:r>
      <w:rPr>
        <w:b/>
        <w:bCs/>
        <w:noProof/>
        <w:sz w:val="44"/>
        <w:szCs w:val="44"/>
        <w:lang w:eastAsia="pl-PL"/>
      </w:rPr>
      <mc:AlternateContent>
        <mc:Choice Requires="wps">
          <w:drawing>
            <wp:anchor distT="0" distB="0" distL="114300" distR="114300" simplePos="0" relativeHeight="251660288" behindDoc="0" locked="0" layoutInCell="0" allowOverlap="1">
              <wp:simplePos x="0" y="0"/>
              <wp:positionH relativeFrom="rightMargin">
                <wp:posOffset>286385</wp:posOffset>
              </wp:positionH>
              <wp:positionV relativeFrom="margin">
                <wp:posOffset>8103235</wp:posOffset>
              </wp:positionV>
              <wp:extent cx="519430" cy="1016635"/>
              <wp:effectExtent l="635" t="0" r="381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CD1" w:rsidRDefault="00030CD1">
                          <w:pPr>
                            <w:pStyle w:val="Stopka"/>
                            <w:rPr>
                              <w:rFonts w:asciiTheme="majorHAnsi" w:hAnsiTheme="majorHAnsi"/>
                              <w:sz w:val="44"/>
                              <w:szCs w:val="44"/>
                            </w:rPr>
                          </w:pPr>
                          <w:r>
                            <w:rPr>
                              <w:rFonts w:asciiTheme="majorHAnsi" w:hAnsiTheme="majorHAnsi"/>
                            </w:rPr>
                            <w:t>Strona</w:t>
                          </w:r>
                          <w:r w:rsidR="00214E64">
                            <w:fldChar w:fldCharType="begin"/>
                          </w:r>
                          <w:r w:rsidR="00214E64">
                            <w:instrText xml:space="preserve"> PAGE    \* MERGEFORMAT </w:instrText>
                          </w:r>
                          <w:r w:rsidR="00214E64">
                            <w:fldChar w:fldCharType="separate"/>
                          </w:r>
                          <w:r w:rsidR="005E703F" w:rsidRPr="005E703F">
                            <w:rPr>
                              <w:rFonts w:asciiTheme="majorHAnsi" w:hAnsiTheme="majorHAnsi"/>
                              <w:noProof/>
                              <w:sz w:val="44"/>
                              <w:szCs w:val="44"/>
                            </w:rPr>
                            <w:t>3</w:t>
                          </w:r>
                          <w:r w:rsidR="00214E64">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55pt;margin-top:638.05pt;width:40.9pt;height:80.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" o:allowincell="f" filled="f" stroked="f">
              <v:textbox style="layout-flow:vertical;mso-layout-flow-alt:bottom-to-top;mso-fit-shape-to-text:t">
                <w:txbxContent>
                  <w:p w:rsidR="00030CD1" w:rsidRDefault="00030CD1">
                    <w:pPr>
                      <w:pStyle w:val="Stopka"/>
                      <w:rPr>
                        <w:rFonts w:asciiTheme="majorHAnsi" w:hAnsiTheme="majorHAnsi"/>
                        <w:sz w:val="44"/>
                        <w:szCs w:val="44"/>
                      </w:rPr>
                    </w:pPr>
                    <w:r>
                      <w:rPr>
                        <w:rFonts w:asciiTheme="majorHAnsi" w:hAnsiTheme="majorHAnsi"/>
                      </w:rPr>
                      <w:t>Strona</w:t>
                    </w:r>
                    <w:r w:rsidR="00214E64">
                      <w:fldChar w:fldCharType="begin"/>
                    </w:r>
                    <w:r w:rsidR="00214E64">
                      <w:instrText xml:space="preserve"> PAGE    \* MERGEFORMAT </w:instrText>
                    </w:r>
                    <w:r w:rsidR="00214E64">
                      <w:fldChar w:fldCharType="separate"/>
                    </w:r>
                    <w:r w:rsidR="005E703F" w:rsidRPr="005E703F">
                      <w:rPr>
                        <w:rFonts w:asciiTheme="majorHAnsi" w:hAnsiTheme="majorHAnsi"/>
                        <w:noProof/>
                        <w:sz w:val="44"/>
                        <w:szCs w:val="44"/>
                      </w:rPr>
                      <w:t>3</w:t>
                    </w:r>
                    <w:r w:rsidR="00214E64">
                      <w:rPr>
                        <w:rFonts w:asciiTheme="majorHAnsi" w:hAnsiTheme="majorHAnsi"/>
                        <w:noProof/>
                        <w:sz w:val="44"/>
                        <w:szCs w:val="44"/>
                      </w:rPr>
                      <w:fldChar w:fldCharType="end"/>
                    </w:r>
                  </w:p>
                </w:txbxContent>
              </v:textbox>
              <w10:wrap anchorx="margin" anchory="margin"/>
            </v:rect>
          </w:pict>
        </mc:Fallback>
      </mc:AlternateContent>
    </w:r>
    <w:r w:rsidR="00030CD1" w:rsidRPr="00B833EB">
      <w:rPr>
        <w:rFonts w:asciiTheme="minorHAnsi" w:hAnsiTheme="minorHAnsi"/>
        <w:sz w:val="20"/>
        <w:szCs w:val="20"/>
      </w:rPr>
      <w:t>Biblioteka Analiz Sp. z o.o.</w:t>
    </w:r>
  </w:p>
  <w:p w:rsidR="00030CD1" w:rsidRPr="00B833EB" w:rsidRDefault="00030CD1" w:rsidP="00B833EB">
    <w:pPr>
      <w:pStyle w:val="Bezodstpw"/>
      <w:jc w:val="center"/>
      <w:rPr>
        <w:rFonts w:asciiTheme="minorHAnsi" w:hAnsiTheme="minorHAnsi"/>
        <w:sz w:val="20"/>
        <w:szCs w:val="20"/>
      </w:rPr>
    </w:pPr>
    <w:r w:rsidRPr="00B833EB">
      <w:rPr>
        <w:rFonts w:asciiTheme="minorHAnsi" w:hAnsiTheme="minorHAnsi"/>
        <w:sz w:val="20"/>
        <w:szCs w:val="20"/>
      </w:rPr>
      <w:t>00-048 Warszawa, ul. Mazowiecka 6/8</w:t>
    </w:r>
  </w:p>
  <w:p w:rsidR="00030CD1" w:rsidRPr="00B833EB" w:rsidRDefault="00030CD1" w:rsidP="00B833EB">
    <w:pPr>
      <w:pStyle w:val="Bezodstpw"/>
      <w:jc w:val="center"/>
      <w:rPr>
        <w:rFonts w:asciiTheme="minorHAnsi" w:hAnsiTheme="minorHAnsi"/>
        <w:sz w:val="20"/>
        <w:szCs w:val="20"/>
      </w:rPr>
    </w:pPr>
    <w:r w:rsidRPr="00B833EB">
      <w:rPr>
        <w:rFonts w:asciiTheme="minorHAnsi" w:hAnsiTheme="minorHAnsi"/>
        <w:sz w:val="20"/>
        <w:szCs w:val="20"/>
      </w:rPr>
      <w:t>tel. 22 828 36 31, marketing@rynek-ksiazki.pl</w:t>
    </w:r>
  </w:p>
  <w:p w:rsidR="00030CD1" w:rsidRPr="00B833EB" w:rsidRDefault="00030CD1" w:rsidP="00B833EB">
    <w:pPr>
      <w:pStyle w:val="Stopka"/>
      <w:jc w:val="center"/>
      <w:rPr>
        <w:sz w:val="24"/>
        <w:szCs w:val="24"/>
      </w:rPr>
    </w:pPr>
    <w:r w:rsidRPr="00B833EB">
      <w:rPr>
        <w:rFonts w:asciiTheme="minorHAnsi" w:hAnsiTheme="minorHAnsi"/>
        <w:color w:val="000000"/>
        <w:sz w:val="20"/>
        <w:szCs w:val="20"/>
      </w:rPr>
      <w:t>NIP: 525-22-29-696, KRS: 0000084833</w:t>
    </w:r>
    <w:r>
      <w:rPr>
        <w:rFonts w:asciiTheme="minorHAnsi" w:hAnsiTheme="minorHAnsi"/>
        <w:color w:val="000000"/>
        <w:sz w:val="20"/>
        <w:szCs w:val="20"/>
      </w:rPr>
      <w:t xml:space="preserve">, </w:t>
    </w:r>
    <w:r w:rsidRPr="00B833EB">
      <w:rPr>
        <w:rFonts w:asciiTheme="minorHAnsi" w:hAnsiTheme="minorHAnsi"/>
        <w:color w:val="000000"/>
        <w:sz w:val="20"/>
        <w:szCs w:val="20"/>
      </w:rPr>
      <w:t>Kapitał zakładowy: 122.500,00 zł</w:t>
    </w:r>
    <w:r w:rsidRPr="00B833EB">
      <w:rPr>
        <w:rFonts w:asciiTheme="minorHAnsi" w:hAnsiTheme="minorHAnsi"/>
        <w:color w:val="000000"/>
        <w:sz w:val="20"/>
        <w:szCs w:val="20"/>
      </w:rPr>
      <w:br/>
    </w:r>
    <w:hyperlink r:id="rId1" w:history="1">
      <w:r w:rsidRPr="000A203E">
        <w:rPr>
          <w:rStyle w:val="Hipercze"/>
          <w:noProof/>
          <w:sz w:val="20"/>
          <w:szCs w:val="20"/>
          <w:lang w:eastAsia="pl-PL"/>
        </w:rPr>
        <w:t>www.rynek-ksiazki.pl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64" w:rsidRDefault="00214E64" w:rsidP="00F57D97">
      <w:pPr>
        <w:spacing w:after="0" w:line="240" w:lineRule="auto"/>
      </w:pPr>
      <w:r>
        <w:separator/>
      </w:r>
    </w:p>
  </w:footnote>
  <w:footnote w:type="continuationSeparator" w:id="0">
    <w:p w:rsidR="00214E64" w:rsidRDefault="00214E64" w:rsidP="00F57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D1" w:rsidRPr="00134B3E" w:rsidRDefault="00030CD1" w:rsidP="00134B3E">
    <w:pPr>
      <w:jc w:val="center"/>
      <w:rPr>
        <w:b/>
        <w:bCs/>
        <w:sz w:val="44"/>
        <w:szCs w:val="44"/>
      </w:rPr>
    </w:pPr>
    <w:r>
      <w:rPr>
        <w:noProof/>
        <w:lang w:eastAsia="pl-PL"/>
      </w:rPr>
      <w:drawing>
        <wp:inline distT="0" distB="0" distL="0" distR="0">
          <wp:extent cx="1584119" cy="795257"/>
          <wp:effectExtent l="19050" t="0" r="0" b="0"/>
          <wp:docPr id="24" name="Obraz 22" descr="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pg"/>
                  <pic:cNvPicPr/>
                </pic:nvPicPr>
                <pic:blipFill>
                  <a:blip r:embed="rId1"/>
                  <a:stretch>
                    <a:fillRect/>
                  </a:stretch>
                </pic:blipFill>
                <pic:spPr>
                  <a:xfrm>
                    <a:off x="0" y="0"/>
                    <a:ext cx="1585883" cy="7961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455"/>
    <w:multiLevelType w:val="multilevel"/>
    <w:tmpl w:val="C52A6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C4163D"/>
    <w:multiLevelType w:val="multilevel"/>
    <w:tmpl w:val="E3828E5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F42E2A"/>
    <w:multiLevelType w:val="multilevel"/>
    <w:tmpl w:val="FB906D9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C9233D"/>
    <w:multiLevelType w:val="multilevel"/>
    <w:tmpl w:val="F8C4021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2"/>
      <w:numFmt w:val="decimal"/>
      <w:lvlText w:val="%3.1"/>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D74526F"/>
    <w:multiLevelType w:val="multilevel"/>
    <w:tmpl w:val="86CA7868"/>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20C7704"/>
    <w:multiLevelType w:val="multilevel"/>
    <w:tmpl w:val="C52A6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6CB115D"/>
    <w:multiLevelType w:val="hybridMultilevel"/>
    <w:tmpl w:val="A18C0B16"/>
    <w:lvl w:ilvl="0" w:tplc="E7D8111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D893C25"/>
    <w:multiLevelType w:val="hybridMultilevel"/>
    <w:tmpl w:val="7B4A4154"/>
    <w:lvl w:ilvl="0" w:tplc="E7D8111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2CC229F"/>
    <w:multiLevelType w:val="multilevel"/>
    <w:tmpl w:val="015EC2C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2"/>
      <w:numFmt w:val="decimal"/>
      <w:lvlText w:val="%3.1"/>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81F5AA1"/>
    <w:multiLevelType w:val="multilevel"/>
    <w:tmpl w:val="C52A6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B52CC3"/>
    <w:multiLevelType w:val="multilevel"/>
    <w:tmpl w:val="C52A6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8F5F3D"/>
    <w:multiLevelType w:val="multilevel"/>
    <w:tmpl w:val="383CDB7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5D36A5"/>
    <w:multiLevelType w:val="multilevel"/>
    <w:tmpl w:val="50A6466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695C4D"/>
    <w:multiLevelType w:val="multilevel"/>
    <w:tmpl w:val="963E460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F0317B5"/>
    <w:multiLevelType w:val="multilevel"/>
    <w:tmpl w:val="67C69A5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560107"/>
    <w:multiLevelType w:val="multilevel"/>
    <w:tmpl w:val="1C58D66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841F71"/>
    <w:multiLevelType w:val="multilevel"/>
    <w:tmpl w:val="2F620BC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5C119C0"/>
    <w:multiLevelType w:val="multilevel"/>
    <w:tmpl w:val="C52A6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B3A1B6D"/>
    <w:multiLevelType w:val="multilevel"/>
    <w:tmpl w:val="41B8846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8430A4"/>
    <w:multiLevelType w:val="multilevel"/>
    <w:tmpl w:val="22A2013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4710BE4"/>
    <w:multiLevelType w:val="multilevel"/>
    <w:tmpl w:val="C52A6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49C7DD1"/>
    <w:multiLevelType w:val="multilevel"/>
    <w:tmpl w:val="C52A6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8084269"/>
    <w:multiLevelType w:val="multilevel"/>
    <w:tmpl w:val="61A432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8C87E5B"/>
    <w:multiLevelType w:val="multilevel"/>
    <w:tmpl w:val="C52A6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9756D9E"/>
    <w:multiLevelType w:val="multilevel"/>
    <w:tmpl w:val="C52A6A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C507F69"/>
    <w:multiLevelType w:val="hybridMultilevel"/>
    <w:tmpl w:val="E754197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6CD20493"/>
    <w:multiLevelType w:val="multilevel"/>
    <w:tmpl w:val="0FF0F1B4"/>
    <w:lvl w:ilvl="0">
      <w:start w:val="1"/>
      <w:numFmt w:val="decimal"/>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7">
    <w:nsid w:val="6CD62240"/>
    <w:multiLevelType w:val="multilevel"/>
    <w:tmpl w:val="DD163D6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B67730"/>
    <w:multiLevelType w:val="hybridMultilevel"/>
    <w:tmpl w:val="8114767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73217A35"/>
    <w:multiLevelType w:val="multilevel"/>
    <w:tmpl w:val="4274C26A"/>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6C6672F"/>
    <w:multiLevelType w:val="multilevel"/>
    <w:tmpl w:val="74985BC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27"/>
  </w:num>
  <w:num w:numId="4">
    <w:abstractNumId w:val="29"/>
  </w:num>
  <w:num w:numId="5">
    <w:abstractNumId w:val="22"/>
  </w:num>
  <w:num w:numId="6">
    <w:abstractNumId w:val="6"/>
  </w:num>
  <w:num w:numId="7">
    <w:abstractNumId w:val="19"/>
  </w:num>
  <w:num w:numId="8">
    <w:abstractNumId w:val="7"/>
  </w:num>
  <w:num w:numId="9">
    <w:abstractNumId w:val="26"/>
  </w:num>
  <w:num w:numId="10">
    <w:abstractNumId w:val="3"/>
  </w:num>
  <w:num w:numId="11">
    <w:abstractNumId w:val="8"/>
  </w:num>
  <w:num w:numId="12">
    <w:abstractNumId w:val="24"/>
  </w:num>
  <w:num w:numId="13">
    <w:abstractNumId w:val="9"/>
  </w:num>
  <w:num w:numId="14">
    <w:abstractNumId w:val="25"/>
  </w:num>
  <w:num w:numId="15">
    <w:abstractNumId w:val="5"/>
  </w:num>
  <w:num w:numId="16">
    <w:abstractNumId w:val="20"/>
  </w:num>
  <w:num w:numId="17">
    <w:abstractNumId w:val="21"/>
  </w:num>
  <w:num w:numId="18">
    <w:abstractNumId w:val="23"/>
  </w:num>
  <w:num w:numId="19">
    <w:abstractNumId w:val="28"/>
  </w:num>
  <w:num w:numId="20">
    <w:abstractNumId w:val="10"/>
  </w:num>
  <w:num w:numId="21">
    <w:abstractNumId w:val="0"/>
  </w:num>
  <w:num w:numId="22">
    <w:abstractNumId w:val="18"/>
  </w:num>
  <w:num w:numId="23">
    <w:abstractNumId w:val="2"/>
  </w:num>
  <w:num w:numId="24">
    <w:abstractNumId w:val="11"/>
  </w:num>
  <w:num w:numId="25">
    <w:abstractNumId w:val="15"/>
  </w:num>
  <w:num w:numId="26">
    <w:abstractNumId w:val="1"/>
  </w:num>
  <w:num w:numId="27">
    <w:abstractNumId w:val="30"/>
  </w:num>
  <w:num w:numId="28">
    <w:abstractNumId w:val="13"/>
  </w:num>
  <w:num w:numId="29">
    <w:abstractNumId w:val="14"/>
  </w:num>
  <w:num w:numId="30">
    <w:abstractNumId w:val="12"/>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efaultTabStop w:val="708"/>
  <w:hyphenationZone w:val="425"/>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17"/>
    <w:rsid w:val="0000167B"/>
    <w:rsid w:val="00002638"/>
    <w:rsid w:val="0000648F"/>
    <w:rsid w:val="00007673"/>
    <w:rsid w:val="00007927"/>
    <w:rsid w:val="000105CA"/>
    <w:rsid w:val="00012229"/>
    <w:rsid w:val="0001249C"/>
    <w:rsid w:val="00014269"/>
    <w:rsid w:val="00014854"/>
    <w:rsid w:val="000164A5"/>
    <w:rsid w:val="000215C0"/>
    <w:rsid w:val="00023224"/>
    <w:rsid w:val="00023A80"/>
    <w:rsid w:val="00024940"/>
    <w:rsid w:val="00030CD1"/>
    <w:rsid w:val="00032357"/>
    <w:rsid w:val="00033543"/>
    <w:rsid w:val="00033E75"/>
    <w:rsid w:val="00040B1D"/>
    <w:rsid w:val="00042C42"/>
    <w:rsid w:val="00045DB8"/>
    <w:rsid w:val="00045DD8"/>
    <w:rsid w:val="0004696F"/>
    <w:rsid w:val="00046BC6"/>
    <w:rsid w:val="000479A2"/>
    <w:rsid w:val="0005044F"/>
    <w:rsid w:val="000509DD"/>
    <w:rsid w:val="00051B82"/>
    <w:rsid w:val="00056378"/>
    <w:rsid w:val="00062AF7"/>
    <w:rsid w:val="0006648F"/>
    <w:rsid w:val="0006738E"/>
    <w:rsid w:val="00067B66"/>
    <w:rsid w:val="0007115A"/>
    <w:rsid w:val="00071339"/>
    <w:rsid w:val="000715D9"/>
    <w:rsid w:val="00071E41"/>
    <w:rsid w:val="00073FAE"/>
    <w:rsid w:val="00075ACD"/>
    <w:rsid w:val="000801F2"/>
    <w:rsid w:val="00080741"/>
    <w:rsid w:val="00082D34"/>
    <w:rsid w:val="000907EC"/>
    <w:rsid w:val="00092377"/>
    <w:rsid w:val="000A203E"/>
    <w:rsid w:val="000A2515"/>
    <w:rsid w:val="000A56DB"/>
    <w:rsid w:val="000B4090"/>
    <w:rsid w:val="000B4A67"/>
    <w:rsid w:val="000B70AE"/>
    <w:rsid w:val="000B780F"/>
    <w:rsid w:val="000C05B2"/>
    <w:rsid w:val="000C493B"/>
    <w:rsid w:val="000C5EAB"/>
    <w:rsid w:val="000C7FDE"/>
    <w:rsid w:val="000D13A4"/>
    <w:rsid w:val="000D2256"/>
    <w:rsid w:val="000D2A60"/>
    <w:rsid w:val="000D39BB"/>
    <w:rsid w:val="000D6257"/>
    <w:rsid w:val="000E06D3"/>
    <w:rsid w:val="000E284C"/>
    <w:rsid w:val="000E3250"/>
    <w:rsid w:val="000E39C6"/>
    <w:rsid w:val="000E52ED"/>
    <w:rsid w:val="000E7D20"/>
    <w:rsid w:val="000F1680"/>
    <w:rsid w:val="000F1946"/>
    <w:rsid w:val="000F2100"/>
    <w:rsid w:val="000F3FA1"/>
    <w:rsid w:val="000F50E7"/>
    <w:rsid w:val="00101280"/>
    <w:rsid w:val="00102B9F"/>
    <w:rsid w:val="00105C5A"/>
    <w:rsid w:val="001114F9"/>
    <w:rsid w:val="00112471"/>
    <w:rsid w:val="001130CF"/>
    <w:rsid w:val="0011507C"/>
    <w:rsid w:val="00117DD1"/>
    <w:rsid w:val="0012201A"/>
    <w:rsid w:val="00131820"/>
    <w:rsid w:val="00132DD5"/>
    <w:rsid w:val="00134B3E"/>
    <w:rsid w:val="00134BB2"/>
    <w:rsid w:val="00135644"/>
    <w:rsid w:val="00141340"/>
    <w:rsid w:val="001440E3"/>
    <w:rsid w:val="00144E4B"/>
    <w:rsid w:val="00145677"/>
    <w:rsid w:val="00151831"/>
    <w:rsid w:val="00154815"/>
    <w:rsid w:val="0015655F"/>
    <w:rsid w:val="0016086A"/>
    <w:rsid w:val="00167444"/>
    <w:rsid w:val="00170AA7"/>
    <w:rsid w:val="00171B16"/>
    <w:rsid w:val="00171DF4"/>
    <w:rsid w:val="00176CCE"/>
    <w:rsid w:val="001805AB"/>
    <w:rsid w:val="001813A3"/>
    <w:rsid w:val="001828C2"/>
    <w:rsid w:val="0018500D"/>
    <w:rsid w:val="00186E58"/>
    <w:rsid w:val="00191C36"/>
    <w:rsid w:val="00191E3C"/>
    <w:rsid w:val="001A0C96"/>
    <w:rsid w:val="001A3156"/>
    <w:rsid w:val="001A3E9E"/>
    <w:rsid w:val="001A4B90"/>
    <w:rsid w:val="001A50A0"/>
    <w:rsid w:val="001A5675"/>
    <w:rsid w:val="001A61DA"/>
    <w:rsid w:val="001B2C9D"/>
    <w:rsid w:val="001B2E32"/>
    <w:rsid w:val="001B36F3"/>
    <w:rsid w:val="001B3E76"/>
    <w:rsid w:val="001B42A8"/>
    <w:rsid w:val="001B4DB1"/>
    <w:rsid w:val="001B666D"/>
    <w:rsid w:val="001C0187"/>
    <w:rsid w:val="001C0EE0"/>
    <w:rsid w:val="001C3982"/>
    <w:rsid w:val="001C5202"/>
    <w:rsid w:val="001C5B39"/>
    <w:rsid w:val="001D283F"/>
    <w:rsid w:val="001D335C"/>
    <w:rsid w:val="001D5C29"/>
    <w:rsid w:val="001E1579"/>
    <w:rsid w:val="001E2EB7"/>
    <w:rsid w:val="001E4FE8"/>
    <w:rsid w:val="001E5BAB"/>
    <w:rsid w:val="001E6A77"/>
    <w:rsid w:val="001E6EBD"/>
    <w:rsid w:val="001F0A1F"/>
    <w:rsid w:val="001F5656"/>
    <w:rsid w:val="001F5C1C"/>
    <w:rsid w:val="001F5FD6"/>
    <w:rsid w:val="002021DE"/>
    <w:rsid w:val="002037B4"/>
    <w:rsid w:val="00206742"/>
    <w:rsid w:val="00207BE5"/>
    <w:rsid w:val="00210255"/>
    <w:rsid w:val="00210D72"/>
    <w:rsid w:val="00212740"/>
    <w:rsid w:val="00213771"/>
    <w:rsid w:val="00213924"/>
    <w:rsid w:val="00214E64"/>
    <w:rsid w:val="00222028"/>
    <w:rsid w:val="00223C53"/>
    <w:rsid w:val="00223D55"/>
    <w:rsid w:val="00232018"/>
    <w:rsid w:val="0023359F"/>
    <w:rsid w:val="002341D1"/>
    <w:rsid w:val="002372D6"/>
    <w:rsid w:val="00242A78"/>
    <w:rsid w:val="00242EF5"/>
    <w:rsid w:val="00243B98"/>
    <w:rsid w:val="00244938"/>
    <w:rsid w:val="00244C89"/>
    <w:rsid w:val="00247CD3"/>
    <w:rsid w:val="00250C82"/>
    <w:rsid w:val="00250CB3"/>
    <w:rsid w:val="00253F7E"/>
    <w:rsid w:val="00260ADB"/>
    <w:rsid w:val="002628BE"/>
    <w:rsid w:val="0027212F"/>
    <w:rsid w:val="00273190"/>
    <w:rsid w:val="00273853"/>
    <w:rsid w:val="00275CD0"/>
    <w:rsid w:val="0028058D"/>
    <w:rsid w:val="00283899"/>
    <w:rsid w:val="00285374"/>
    <w:rsid w:val="0028689E"/>
    <w:rsid w:val="0029681E"/>
    <w:rsid w:val="00297DB1"/>
    <w:rsid w:val="002A1719"/>
    <w:rsid w:val="002A733F"/>
    <w:rsid w:val="002A7FB1"/>
    <w:rsid w:val="002B41AD"/>
    <w:rsid w:val="002B4F9C"/>
    <w:rsid w:val="002B6A57"/>
    <w:rsid w:val="002C14E3"/>
    <w:rsid w:val="002C21CA"/>
    <w:rsid w:val="002C3686"/>
    <w:rsid w:val="002C5405"/>
    <w:rsid w:val="002C75FB"/>
    <w:rsid w:val="002D1342"/>
    <w:rsid w:val="002E25B3"/>
    <w:rsid w:val="002E30DE"/>
    <w:rsid w:val="002E31EA"/>
    <w:rsid w:val="002E4BA0"/>
    <w:rsid w:val="002E4FB5"/>
    <w:rsid w:val="002E597B"/>
    <w:rsid w:val="002F3EF3"/>
    <w:rsid w:val="002F5766"/>
    <w:rsid w:val="002F5B0C"/>
    <w:rsid w:val="002F5CC9"/>
    <w:rsid w:val="00305AED"/>
    <w:rsid w:val="003067FB"/>
    <w:rsid w:val="00306AF5"/>
    <w:rsid w:val="00311275"/>
    <w:rsid w:val="00311F3E"/>
    <w:rsid w:val="00330772"/>
    <w:rsid w:val="003312F0"/>
    <w:rsid w:val="00332277"/>
    <w:rsid w:val="0033296C"/>
    <w:rsid w:val="00333FF1"/>
    <w:rsid w:val="0033416B"/>
    <w:rsid w:val="003341BF"/>
    <w:rsid w:val="00334ECF"/>
    <w:rsid w:val="003361DA"/>
    <w:rsid w:val="00336572"/>
    <w:rsid w:val="00340774"/>
    <w:rsid w:val="003457D6"/>
    <w:rsid w:val="00346661"/>
    <w:rsid w:val="00346BA4"/>
    <w:rsid w:val="00351389"/>
    <w:rsid w:val="003547D6"/>
    <w:rsid w:val="00355A7B"/>
    <w:rsid w:val="0035735E"/>
    <w:rsid w:val="00357F06"/>
    <w:rsid w:val="00360398"/>
    <w:rsid w:val="00360DA2"/>
    <w:rsid w:val="00362C40"/>
    <w:rsid w:val="00366CA8"/>
    <w:rsid w:val="003706EA"/>
    <w:rsid w:val="00373757"/>
    <w:rsid w:val="00374CB5"/>
    <w:rsid w:val="003769B5"/>
    <w:rsid w:val="00377234"/>
    <w:rsid w:val="00380095"/>
    <w:rsid w:val="00385847"/>
    <w:rsid w:val="00385C00"/>
    <w:rsid w:val="00385E79"/>
    <w:rsid w:val="00387DE0"/>
    <w:rsid w:val="0039079A"/>
    <w:rsid w:val="0039161A"/>
    <w:rsid w:val="00391C2F"/>
    <w:rsid w:val="00392266"/>
    <w:rsid w:val="00392BAE"/>
    <w:rsid w:val="00393B25"/>
    <w:rsid w:val="0039409A"/>
    <w:rsid w:val="00394E43"/>
    <w:rsid w:val="00394E45"/>
    <w:rsid w:val="003958BF"/>
    <w:rsid w:val="003958E1"/>
    <w:rsid w:val="0039684B"/>
    <w:rsid w:val="00396F0C"/>
    <w:rsid w:val="003970C2"/>
    <w:rsid w:val="003A147B"/>
    <w:rsid w:val="003A1785"/>
    <w:rsid w:val="003A1A8C"/>
    <w:rsid w:val="003A3F63"/>
    <w:rsid w:val="003A4131"/>
    <w:rsid w:val="003A4FAA"/>
    <w:rsid w:val="003B1A08"/>
    <w:rsid w:val="003B50D4"/>
    <w:rsid w:val="003B5813"/>
    <w:rsid w:val="003B6AF7"/>
    <w:rsid w:val="003C11CC"/>
    <w:rsid w:val="003C3562"/>
    <w:rsid w:val="003C534F"/>
    <w:rsid w:val="003C5CE9"/>
    <w:rsid w:val="003D1EA3"/>
    <w:rsid w:val="003D55BC"/>
    <w:rsid w:val="003D6C41"/>
    <w:rsid w:val="003D6CE5"/>
    <w:rsid w:val="003E2B1D"/>
    <w:rsid w:val="003E3512"/>
    <w:rsid w:val="003E4EC6"/>
    <w:rsid w:val="003E5C5E"/>
    <w:rsid w:val="003F418B"/>
    <w:rsid w:val="003F59BE"/>
    <w:rsid w:val="003F61DD"/>
    <w:rsid w:val="00400CFD"/>
    <w:rsid w:val="0040128D"/>
    <w:rsid w:val="00401BDD"/>
    <w:rsid w:val="004035B4"/>
    <w:rsid w:val="00407756"/>
    <w:rsid w:val="004079D2"/>
    <w:rsid w:val="00410537"/>
    <w:rsid w:val="0041309D"/>
    <w:rsid w:val="004136F5"/>
    <w:rsid w:val="00413E20"/>
    <w:rsid w:val="004179A2"/>
    <w:rsid w:val="00424CFD"/>
    <w:rsid w:val="00427F31"/>
    <w:rsid w:val="004336AF"/>
    <w:rsid w:val="00434005"/>
    <w:rsid w:val="00436D48"/>
    <w:rsid w:val="00437299"/>
    <w:rsid w:val="00440856"/>
    <w:rsid w:val="00445E71"/>
    <w:rsid w:val="004502BF"/>
    <w:rsid w:val="0045113C"/>
    <w:rsid w:val="00453ABD"/>
    <w:rsid w:val="00455332"/>
    <w:rsid w:val="00460345"/>
    <w:rsid w:val="00461591"/>
    <w:rsid w:val="0046205B"/>
    <w:rsid w:val="00462732"/>
    <w:rsid w:val="00462D12"/>
    <w:rsid w:val="00463A65"/>
    <w:rsid w:val="00465635"/>
    <w:rsid w:val="004674F4"/>
    <w:rsid w:val="0047141F"/>
    <w:rsid w:val="00472E17"/>
    <w:rsid w:val="00475587"/>
    <w:rsid w:val="0047659F"/>
    <w:rsid w:val="00481F4B"/>
    <w:rsid w:val="004838C4"/>
    <w:rsid w:val="00485656"/>
    <w:rsid w:val="00495C43"/>
    <w:rsid w:val="00496C0E"/>
    <w:rsid w:val="004974C5"/>
    <w:rsid w:val="004977E6"/>
    <w:rsid w:val="00497AF5"/>
    <w:rsid w:val="004A59E3"/>
    <w:rsid w:val="004A6133"/>
    <w:rsid w:val="004B0D90"/>
    <w:rsid w:val="004B26A5"/>
    <w:rsid w:val="004B4459"/>
    <w:rsid w:val="004B4B33"/>
    <w:rsid w:val="004B4F65"/>
    <w:rsid w:val="004B5516"/>
    <w:rsid w:val="004C0FFF"/>
    <w:rsid w:val="004C1D37"/>
    <w:rsid w:val="004C2BA7"/>
    <w:rsid w:val="004C773D"/>
    <w:rsid w:val="004C7E9D"/>
    <w:rsid w:val="004C7F7C"/>
    <w:rsid w:val="004D2AE4"/>
    <w:rsid w:val="004D7068"/>
    <w:rsid w:val="004D7DF2"/>
    <w:rsid w:val="004E6E9E"/>
    <w:rsid w:val="004F0EA8"/>
    <w:rsid w:val="004F1AC2"/>
    <w:rsid w:val="004F451C"/>
    <w:rsid w:val="005110D5"/>
    <w:rsid w:val="00515262"/>
    <w:rsid w:val="00516EC8"/>
    <w:rsid w:val="005261D1"/>
    <w:rsid w:val="00526C35"/>
    <w:rsid w:val="00527260"/>
    <w:rsid w:val="005277F3"/>
    <w:rsid w:val="00530E9B"/>
    <w:rsid w:val="0053436A"/>
    <w:rsid w:val="00535CEC"/>
    <w:rsid w:val="00541002"/>
    <w:rsid w:val="00543019"/>
    <w:rsid w:val="005439D0"/>
    <w:rsid w:val="00550410"/>
    <w:rsid w:val="00551EF6"/>
    <w:rsid w:val="0055348F"/>
    <w:rsid w:val="00553524"/>
    <w:rsid w:val="00560271"/>
    <w:rsid w:val="00561435"/>
    <w:rsid w:val="005617BC"/>
    <w:rsid w:val="00566AD5"/>
    <w:rsid w:val="00567F66"/>
    <w:rsid w:val="00570D1B"/>
    <w:rsid w:val="0057225D"/>
    <w:rsid w:val="00572D05"/>
    <w:rsid w:val="00574914"/>
    <w:rsid w:val="0058098D"/>
    <w:rsid w:val="00585FE2"/>
    <w:rsid w:val="00587751"/>
    <w:rsid w:val="005902DF"/>
    <w:rsid w:val="00592B59"/>
    <w:rsid w:val="00595960"/>
    <w:rsid w:val="005963BA"/>
    <w:rsid w:val="0059738A"/>
    <w:rsid w:val="005A21FB"/>
    <w:rsid w:val="005A565E"/>
    <w:rsid w:val="005B04D3"/>
    <w:rsid w:val="005B0A03"/>
    <w:rsid w:val="005B63AC"/>
    <w:rsid w:val="005C19EB"/>
    <w:rsid w:val="005C1A8D"/>
    <w:rsid w:val="005C30FC"/>
    <w:rsid w:val="005C4C89"/>
    <w:rsid w:val="005C53D1"/>
    <w:rsid w:val="005C6552"/>
    <w:rsid w:val="005C6AD4"/>
    <w:rsid w:val="005D03D3"/>
    <w:rsid w:val="005D09BB"/>
    <w:rsid w:val="005D2260"/>
    <w:rsid w:val="005D3C74"/>
    <w:rsid w:val="005D3D19"/>
    <w:rsid w:val="005D6A3A"/>
    <w:rsid w:val="005D7629"/>
    <w:rsid w:val="005E600D"/>
    <w:rsid w:val="005E703F"/>
    <w:rsid w:val="005E7B63"/>
    <w:rsid w:val="005F2627"/>
    <w:rsid w:val="005F6D9F"/>
    <w:rsid w:val="00600386"/>
    <w:rsid w:val="00602078"/>
    <w:rsid w:val="00603AA9"/>
    <w:rsid w:val="00605515"/>
    <w:rsid w:val="006107E5"/>
    <w:rsid w:val="00611A71"/>
    <w:rsid w:val="00613CDA"/>
    <w:rsid w:val="00614780"/>
    <w:rsid w:val="00614B9C"/>
    <w:rsid w:val="00615860"/>
    <w:rsid w:val="00615AA0"/>
    <w:rsid w:val="00617D19"/>
    <w:rsid w:val="00620376"/>
    <w:rsid w:val="0062676B"/>
    <w:rsid w:val="00627CD9"/>
    <w:rsid w:val="00630A2A"/>
    <w:rsid w:val="00630D60"/>
    <w:rsid w:val="00633C11"/>
    <w:rsid w:val="00637401"/>
    <w:rsid w:val="006378D8"/>
    <w:rsid w:val="00637966"/>
    <w:rsid w:val="00640D18"/>
    <w:rsid w:val="00641382"/>
    <w:rsid w:val="00641A86"/>
    <w:rsid w:val="00647FB9"/>
    <w:rsid w:val="00650A6B"/>
    <w:rsid w:val="00651111"/>
    <w:rsid w:val="00651D6A"/>
    <w:rsid w:val="0065360E"/>
    <w:rsid w:val="0065419A"/>
    <w:rsid w:val="00654350"/>
    <w:rsid w:val="006549F7"/>
    <w:rsid w:val="0066413E"/>
    <w:rsid w:val="006655A8"/>
    <w:rsid w:val="0067198A"/>
    <w:rsid w:val="00675BC6"/>
    <w:rsid w:val="006760CD"/>
    <w:rsid w:val="00676231"/>
    <w:rsid w:val="00676F4B"/>
    <w:rsid w:val="00683CD3"/>
    <w:rsid w:val="006844A0"/>
    <w:rsid w:val="00684FD2"/>
    <w:rsid w:val="00694100"/>
    <w:rsid w:val="00695A95"/>
    <w:rsid w:val="00695B6E"/>
    <w:rsid w:val="00696DF1"/>
    <w:rsid w:val="00697206"/>
    <w:rsid w:val="006A0BF6"/>
    <w:rsid w:val="006A1BBF"/>
    <w:rsid w:val="006A306D"/>
    <w:rsid w:val="006A4BC0"/>
    <w:rsid w:val="006A4C18"/>
    <w:rsid w:val="006A5979"/>
    <w:rsid w:val="006B04DD"/>
    <w:rsid w:val="006B0535"/>
    <w:rsid w:val="006B1ED4"/>
    <w:rsid w:val="006C5D0D"/>
    <w:rsid w:val="006C652C"/>
    <w:rsid w:val="006C737E"/>
    <w:rsid w:val="006D1614"/>
    <w:rsid w:val="006D1E32"/>
    <w:rsid w:val="006D1F1C"/>
    <w:rsid w:val="006D2D3C"/>
    <w:rsid w:val="006D43C7"/>
    <w:rsid w:val="006D453B"/>
    <w:rsid w:val="006D4BAF"/>
    <w:rsid w:val="006D5603"/>
    <w:rsid w:val="006D626C"/>
    <w:rsid w:val="006D75A3"/>
    <w:rsid w:val="006E0CB9"/>
    <w:rsid w:val="006E2705"/>
    <w:rsid w:val="006E2FB2"/>
    <w:rsid w:val="006E47A5"/>
    <w:rsid w:val="006F0A70"/>
    <w:rsid w:val="006F745F"/>
    <w:rsid w:val="007001A2"/>
    <w:rsid w:val="007011DE"/>
    <w:rsid w:val="00710B2C"/>
    <w:rsid w:val="0071121A"/>
    <w:rsid w:val="0071424B"/>
    <w:rsid w:val="007150E4"/>
    <w:rsid w:val="00716AF8"/>
    <w:rsid w:val="00721909"/>
    <w:rsid w:val="00732504"/>
    <w:rsid w:val="007330C7"/>
    <w:rsid w:val="007402A7"/>
    <w:rsid w:val="00740608"/>
    <w:rsid w:val="0074072E"/>
    <w:rsid w:val="007470F6"/>
    <w:rsid w:val="00763643"/>
    <w:rsid w:val="00764319"/>
    <w:rsid w:val="00764F9A"/>
    <w:rsid w:val="00765F0F"/>
    <w:rsid w:val="007669FB"/>
    <w:rsid w:val="00771641"/>
    <w:rsid w:val="007728F2"/>
    <w:rsid w:val="007749D7"/>
    <w:rsid w:val="0077639F"/>
    <w:rsid w:val="00777642"/>
    <w:rsid w:val="007777D7"/>
    <w:rsid w:val="0078462F"/>
    <w:rsid w:val="00785A50"/>
    <w:rsid w:val="00791178"/>
    <w:rsid w:val="00791577"/>
    <w:rsid w:val="00792BF8"/>
    <w:rsid w:val="00794207"/>
    <w:rsid w:val="00796899"/>
    <w:rsid w:val="007A7317"/>
    <w:rsid w:val="007B3230"/>
    <w:rsid w:val="007B5A4B"/>
    <w:rsid w:val="007B796C"/>
    <w:rsid w:val="007C01B6"/>
    <w:rsid w:val="007C1772"/>
    <w:rsid w:val="007C32B4"/>
    <w:rsid w:val="007C47B2"/>
    <w:rsid w:val="007D0AB3"/>
    <w:rsid w:val="007D0C0C"/>
    <w:rsid w:val="007D23A4"/>
    <w:rsid w:val="007D23F7"/>
    <w:rsid w:val="007D48FD"/>
    <w:rsid w:val="007D5A40"/>
    <w:rsid w:val="007E09CD"/>
    <w:rsid w:val="007E0B3E"/>
    <w:rsid w:val="007E134E"/>
    <w:rsid w:val="007E238E"/>
    <w:rsid w:val="007E312A"/>
    <w:rsid w:val="007E46C8"/>
    <w:rsid w:val="007E4FCE"/>
    <w:rsid w:val="007E6A9F"/>
    <w:rsid w:val="007F01D0"/>
    <w:rsid w:val="007F0BAB"/>
    <w:rsid w:val="007F1054"/>
    <w:rsid w:val="007F419E"/>
    <w:rsid w:val="007F6B69"/>
    <w:rsid w:val="00801A32"/>
    <w:rsid w:val="00801E38"/>
    <w:rsid w:val="00805B6E"/>
    <w:rsid w:val="00811A42"/>
    <w:rsid w:val="00823D47"/>
    <w:rsid w:val="00827387"/>
    <w:rsid w:val="0083418D"/>
    <w:rsid w:val="00835F88"/>
    <w:rsid w:val="00846A36"/>
    <w:rsid w:val="00850D7D"/>
    <w:rsid w:val="008515BF"/>
    <w:rsid w:val="008524BB"/>
    <w:rsid w:val="0085604A"/>
    <w:rsid w:val="00862852"/>
    <w:rsid w:val="00863AF1"/>
    <w:rsid w:val="00871E47"/>
    <w:rsid w:val="00874EB2"/>
    <w:rsid w:val="00876899"/>
    <w:rsid w:val="00877515"/>
    <w:rsid w:val="00882A50"/>
    <w:rsid w:val="0088598C"/>
    <w:rsid w:val="008A5AB9"/>
    <w:rsid w:val="008A5E0C"/>
    <w:rsid w:val="008A61F1"/>
    <w:rsid w:val="008A6B02"/>
    <w:rsid w:val="008A797A"/>
    <w:rsid w:val="008B2CF9"/>
    <w:rsid w:val="008B4177"/>
    <w:rsid w:val="008C268D"/>
    <w:rsid w:val="008C2E97"/>
    <w:rsid w:val="008C3595"/>
    <w:rsid w:val="008C3A16"/>
    <w:rsid w:val="008C5331"/>
    <w:rsid w:val="008C53E2"/>
    <w:rsid w:val="008C5CA9"/>
    <w:rsid w:val="008C7922"/>
    <w:rsid w:val="008C7DD6"/>
    <w:rsid w:val="008D248F"/>
    <w:rsid w:val="008D4729"/>
    <w:rsid w:val="008D5ADA"/>
    <w:rsid w:val="008D5AFB"/>
    <w:rsid w:val="008D619B"/>
    <w:rsid w:val="008E3856"/>
    <w:rsid w:val="008E44EF"/>
    <w:rsid w:val="008E4E1D"/>
    <w:rsid w:val="008E5046"/>
    <w:rsid w:val="008E5C33"/>
    <w:rsid w:val="008E7697"/>
    <w:rsid w:val="008E7920"/>
    <w:rsid w:val="008F22AE"/>
    <w:rsid w:val="008F4512"/>
    <w:rsid w:val="008F5E14"/>
    <w:rsid w:val="009009F7"/>
    <w:rsid w:val="00905767"/>
    <w:rsid w:val="009105C7"/>
    <w:rsid w:val="00913586"/>
    <w:rsid w:val="00913E44"/>
    <w:rsid w:val="009143D0"/>
    <w:rsid w:val="00914BAB"/>
    <w:rsid w:val="009161D1"/>
    <w:rsid w:val="0092153F"/>
    <w:rsid w:val="0092409B"/>
    <w:rsid w:val="009244A8"/>
    <w:rsid w:val="00926AF1"/>
    <w:rsid w:val="009276B0"/>
    <w:rsid w:val="00927D1B"/>
    <w:rsid w:val="0093728C"/>
    <w:rsid w:val="00940861"/>
    <w:rsid w:val="00944D00"/>
    <w:rsid w:val="009507D3"/>
    <w:rsid w:val="00952425"/>
    <w:rsid w:val="00953733"/>
    <w:rsid w:val="009537EB"/>
    <w:rsid w:val="0096243C"/>
    <w:rsid w:val="00962A0C"/>
    <w:rsid w:val="00962E5C"/>
    <w:rsid w:val="00965DFC"/>
    <w:rsid w:val="009667B2"/>
    <w:rsid w:val="009675BC"/>
    <w:rsid w:val="00967D93"/>
    <w:rsid w:val="009745BC"/>
    <w:rsid w:val="00977E78"/>
    <w:rsid w:val="009802A2"/>
    <w:rsid w:val="00985E8D"/>
    <w:rsid w:val="00987082"/>
    <w:rsid w:val="009875CC"/>
    <w:rsid w:val="009904D8"/>
    <w:rsid w:val="00991255"/>
    <w:rsid w:val="00991E83"/>
    <w:rsid w:val="00992C4E"/>
    <w:rsid w:val="00996BAB"/>
    <w:rsid w:val="009975F3"/>
    <w:rsid w:val="009A34F0"/>
    <w:rsid w:val="009A4F92"/>
    <w:rsid w:val="009A5AF9"/>
    <w:rsid w:val="009A77FC"/>
    <w:rsid w:val="009A7B96"/>
    <w:rsid w:val="009B1DEF"/>
    <w:rsid w:val="009B4F9F"/>
    <w:rsid w:val="009B5976"/>
    <w:rsid w:val="009C5921"/>
    <w:rsid w:val="009C68BF"/>
    <w:rsid w:val="009C68F6"/>
    <w:rsid w:val="009C79FF"/>
    <w:rsid w:val="009D208D"/>
    <w:rsid w:val="009D3701"/>
    <w:rsid w:val="009D3B5F"/>
    <w:rsid w:val="009D47D6"/>
    <w:rsid w:val="009D5BAF"/>
    <w:rsid w:val="009E0251"/>
    <w:rsid w:val="009E0503"/>
    <w:rsid w:val="009E4DB3"/>
    <w:rsid w:val="009E5296"/>
    <w:rsid w:val="009E5744"/>
    <w:rsid w:val="009E6944"/>
    <w:rsid w:val="009E6FC0"/>
    <w:rsid w:val="009E7CC7"/>
    <w:rsid w:val="009F005D"/>
    <w:rsid w:val="009F0178"/>
    <w:rsid w:val="009F3208"/>
    <w:rsid w:val="009F3283"/>
    <w:rsid w:val="00A02162"/>
    <w:rsid w:val="00A02879"/>
    <w:rsid w:val="00A03D3C"/>
    <w:rsid w:val="00A0782D"/>
    <w:rsid w:val="00A10B52"/>
    <w:rsid w:val="00A10C82"/>
    <w:rsid w:val="00A15541"/>
    <w:rsid w:val="00A171C0"/>
    <w:rsid w:val="00A27B99"/>
    <w:rsid w:val="00A30522"/>
    <w:rsid w:val="00A31D32"/>
    <w:rsid w:val="00A31E4B"/>
    <w:rsid w:val="00A37594"/>
    <w:rsid w:val="00A41ADB"/>
    <w:rsid w:val="00A46331"/>
    <w:rsid w:val="00A479A7"/>
    <w:rsid w:val="00A47D22"/>
    <w:rsid w:val="00A502AA"/>
    <w:rsid w:val="00A50DDF"/>
    <w:rsid w:val="00A5118D"/>
    <w:rsid w:val="00A51938"/>
    <w:rsid w:val="00A52CBB"/>
    <w:rsid w:val="00A5448E"/>
    <w:rsid w:val="00A60932"/>
    <w:rsid w:val="00A6157D"/>
    <w:rsid w:val="00A75FED"/>
    <w:rsid w:val="00A80703"/>
    <w:rsid w:val="00A8142B"/>
    <w:rsid w:val="00A8364D"/>
    <w:rsid w:val="00A8397B"/>
    <w:rsid w:val="00A87B20"/>
    <w:rsid w:val="00A91587"/>
    <w:rsid w:val="00A92238"/>
    <w:rsid w:val="00A945CC"/>
    <w:rsid w:val="00A94D4D"/>
    <w:rsid w:val="00A96334"/>
    <w:rsid w:val="00A972BF"/>
    <w:rsid w:val="00AA1BA5"/>
    <w:rsid w:val="00AA2B44"/>
    <w:rsid w:val="00AA53D1"/>
    <w:rsid w:val="00AA62EA"/>
    <w:rsid w:val="00AA7CE7"/>
    <w:rsid w:val="00AB2A68"/>
    <w:rsid w:val="00AB2C54"/>
    <w:rsid w:val="00AB4D0D"/>
    <w:rsid w:val="00AB6A78"/>
    <w:rsid w:val="00AB78F9"/>
    <w:rsid w:val="00AC0843"/>
    <w:rsid w:val="00AC4991"/>
    <w:rsid w:val="00AC5A5C"/>
    <w:rsid w:val="00AC669E"/>
    <w:rsid w:val="00AC6853"/>
    <w:rsid w:val="00AD207F"/>
    <w:rsid w:val="00AD39E6"/>
    <w:rsid w:val="00AD5AA7"/>
    <w:rsid w:val="00AE538F"/>
    <w:rsid w:val="00AF131E"/>
    <w:rsid w:val="00AF152D"/>
    <w:rsid w:val="00AF2961"/>
    <w:rsid w:val="00AF29F4"/>
    <w:rsid w:val="00AF5717"/>
    <w:rsid w:val="00AF64D8"/>
    <w:rsid w:val="00AF6F76"/>
    <w:rsid w:val="00B015B7"/>
    <w:rsid w:val="00B02A78"/>
    <w:rsid w:val="00B15A48"/>
    <w:rsid w:val="00B25FAB"/>
    <w:rsid w:val="00B35572"/>
    <w:rsid w:val="00B371ED"/>
    <w:rsid w:val="00B400B6"/>
    <w:rsid w:val="00B4165C"/>
    <w:rsid w:val="00B4238E"/>
    <w:rsid w:val="00B43D19"/>
    <w:rsid w:val="00B45E0F"/>
    <w:rsid w:val="00B5089B"/>
    <w:rsid w:val="00B538E8"/>
    <w:rsid w:val="00B53D0F"/>
    <w:rsid w:val="00B54C11"/>
    <w:rsid w:val="00B5542F"/>
    <w:rsid w:val="00B57D9B"/>
    <w:rsid w:val="00B57F0B"/>
    <w:rsid w:val="00B60AE3"/>
    <w:rsid w:val="00B642AD"/>
    <w:rsid w:val="00B64EEE"/>
    <w:rsid w:val="00B65411"/>
    <w:rsid w:val="00B65EB6"/>
    <w:rsid w:val="00B72C0C"/>
    <w:rsid w:val="00B731BA"/>
    <w:rsid w:val="00B74E84"/>
    <w:rsid w:val="00B7501D"/>
    <w:rsid w:val="00B75125"/>
    <w:rsid w:val="00B7615A"/>
    <w:rsid w:val="00B833EB"/>
    <w:rsid w:val="00B85A0C"/>
    <w:rsid w:val="00B85DB3"/>
    <w:rsid w:val="00B90CA6"/>
    <w:rsid w:val="00B94D70"/>
    <w:rsid w:val="00B9733F"/>
    <w:rsid w:val="00BA0638"/>
    <w:rsid w:val="00BA39B4"/>
    <w:rsid w:val="00BA4E4E"/>
    <w:rsid w:val="00BA50AC"/>
    <w:rsid w:val="00BA6817"/>
    <w:rsid w:val="00BB07BF"/>
    <w:rsid w:val="00BB33F1"/>
    <w:rsid w:val="00BB469E"/>
    <w:rsid w:val="00BB508F"/>
    <w:rsid w:val="00BB7634"/>
    <w:rsid w:val="00BC1EC7"/>
    <w:rsid w:val="00BC21DA"/>
    <w:rsid w:val="00BC25A5"/>
    <w:rsid w:val="00BC5F25"/>
    <w:rsid w:val="00BD3C27"/>
    <w:rsid w:val="00BD3F86"/>
    <w:rsid w:val="00BD5B06"/>
    <w:rsid w:val="00BE25B4"/>
    <w:rsid w:val="00BE3F33"/>
    <w:rsid w:val="00BE4563"/>
    <w:rsid w:val="00BE5585"/>
    <w:rsid w:val="00BE56CA"/>
    <w:rsid w:val="00BE7FBF"/>
    <w:rsid w:val="00BF310B"/>
    <w:rsid w:val="00BF3E39"/>
    <w:rsid w:val="00BF442F"/>
    <w:rsid w:val="00BF504B"/>
    <w:rsid w:val="00BF674F"/>
    <w:rsid w:val="00C01D01"/>
    <w:rsid w:val="00C02657"/>
    <w:rsid w:val="00C03479"/>
    <w:rsid w:val="00C04081"/>
    <w:rsid w:val="00C05143"/>
    <w:rsid w:val="00C05602"/>
    <w:rsid w:val="00C11C1A"/>
    <w:rsid w:val="00C12E2A"/>
    <w:rsid w:val="00C1671E"/>
    <w:rsid w:val="00C17475"/>
    <w:rsid w:val="00C2012C"/>
    <w:rsid w:val="00C20CDB"/>
    <w:rsid w:val="00C214EB"/>
    <w:rsid w:val="00C21EC0"/>
    <w:rsid w:val="00C24AD6"/>
    <w:rsid w:val="00C30CE5"/>
    <w:rsid w:val="00C32BD4"/>
    <w:rsid w:val="00C3352A"/>
    <w:rsid w:val="00C37CD1"/>
    <w:rsid w:val="00C41810"/>
    <w:rsid w:val="00C44206"/>
    <w:rsid w:val="00C44D7E"/>
    <w:rsid w:val="00C45934"/>
    <w:rsid w:val="00C45EC7"/>
    <w:rsid w:val="00C52486"/>
    <w:rsid w:val="00C56D7C"/>
    <w:rsid w:val="00C61F94"/>
    <w:rsid w:val="00C625F3"/>
    <w:rsid w:val="00C6555D"/>
    <w:rsid w:val="00C65C0B"/>
    <w:rsid w:val="00C67B8A"/>
    <w:rsid w:val="00C70C41"/>
    <w:rsid w:val="00C70D2D"/>
    <w:rsid w:val="00C715C5"/>
    <w:rsid w:val="00C71B46"/>
    <w:rsid w:val="00C72FCE"/>
    <w:rsid w:val="00C73ABC"/>
    <w:rsid w:val="00C771C3"/>
    <w:rsid w:val="00C80822"/>
    <w:rsid w:val="00C80AEA"/>
    <w:rsid w:val="00C93FC4"/>
    <w:rsid w:val="00C94217"/>
    <w:rsid w:val="00C952BD"/>
    <w:rsid w:val="00C95BAE"/>
    <w:rsid w:val="00C96142"/>
    <w:rsid w:val="00CA25E6"/>
    <w:rsid w:val="00CA77E9"/>
    <w:rsid w:val="00CB05B5"/>
    <w:rsid w:val="00CB1EDA"/>
    <w:rsid w:val="00CB2FFF"/>
    <w:rsid w:val="00CB316F"/>
    <w:rsid w:val="00CB3305"/>
    <w:rsid w:val="00CB408E"/>
    <w:rsid w:val="00CB5FA5"/>
    <w:rsid w:val="00CB71B5"/>
    <w:rsid w:val="00CC0A1A"/>
    <w:rsid w:val="00CC15A4"/>
    <w:rsid w:val="00CC2316"/>
    <w:rsid w:val="00CC532E"/>
    <w:rsid w:val="00CC6390"/>
    <w:rsid w:val="00CD2FB9"/>
    <w:rsid w:val="00CD3472"/>
    <w:rsid w:val="00CD4C4B"/>
    <w:rsid w:val="00CD5490"/>
    <w:rsid w:val="00CD70F2"/>
    <w:rsid w:val="00CE4B6E"/>
    <w:rsid w:val="00CE53F6"/>
    <w:rsid w:val="00CE5B05"/>
    <w:rsid w:val="00CE6BE3"/>
    <w:rsid w:val="00CF167B"/>
    <w:rsid w:val="00CF7E3D"/>
    <w:rsid w:val="00D00D06"/>
    <w:rsid w:val="00D0213C"/>
    <w:rsid w:val="00D02F24"/>
    <w:rsid w:val="00D036C9"/>
    <w:rsid w:val="00D06512"/>
    <w:rsid w:val="00D071AC"/>
    <w:rsid w:val="00D07729"/>
    <w:rsid w:val="00D123AA"/>
    <w:rsid w:val="00D1374F"/>
    <w:rsid w:val="00D142A0"/>
    <w:rsid w:val="00D15582"/>
    <w:rsid w:val="00D17B8A"/>
    <w:rsid w:val="00D200C1"/>
    <w:rsid w:val="00D223B1"/>
    <w:rsid w:val="00D2320C"/>
    <w:rsid w:val="00D30D67"/>
    <w:rsid w:val="00D34ADF"/>
    <w:rsid w:val="00D37BD4"/>
    <w:rsid w:val="00D405D5"/>
    <w:rsid w:val="00D40A30"/>
    <w:rsid w:val="00D43126"/>
    <w:rsid w:val="00D4336B"/>
    <w:rsid w:val="00D446A8"/>
    <w:rsid w:val="00D45671"/>
    <w:rsid w:val="00D52D7F"/>
    <w:rsid w:val="00D53B0C"/>
    <w:rsid w:val="00D56C14"/>
    <w:rsid w:val="00D603C7"/>
    <w:rsid w:val="00D60EB3"/>
    <w:rsid w:val="00D6102F"/>
    <w:rsid w:val="00D61354"/>
    <w:rsid w:val="00D61FC0"/>
    <w:rsid w:val="00D63BB4"/>
    <w:rsid w:val="00D65F59"/>
    <w:rsid w:val="00D672F2"/>
    <w:rsid w:val="00D673C8"/>
    <w:rsid w:val="00D70B8D"/>
    <w:rsid w:val="00D717BE"/>
    <w:rsid w:val="00D7466D"/>
    <w:rsid w:val="00D75134"/>
    <w:rsid w:val="00D77B59"/>
    <w:rsid w:val="00D811BB"/>
    <w:rsid w:val="00D83113"/>
    <w:rsid w:val="00D83CA3"/>
    <w:rsid w:val="00D83E2E"/>
    <w:rsid w:val="00D869A6"/>
    <w:rsid w:val="00D90CFD"/>
    <w:rsid w:val="00D92B40"/>
    <w:rsid w:val="00D9407C"/>
    <w:rsid w:val="00D968D4"/>
    <w:rsid w:val="00DA06BF"/>
    <w:rsid w:val="00DA36FC"/>
    <w:rsid w:val="00DC1287"/>
    <w:rsid w:val="00DC7884"/>
    <w:rsid w:val="00DD1CE0"/>
    <w:rsid w:val="00DD4395"/>
    <w:rsid w:val="00DD44BB"/>
    <w:rsid w:val="00DD58CA"/>
    <w:rsid w:val="00DE2235"/>
    <w:rsid w:val="00DE2642"/>
    <w:rsid w:val="00DE2EE1"/>
    <w:rsid w:val="00DE37D6"/>
    <w:rsid w:val="00DF0149"/>
    <w:rsid w:val="00DF0F7E"/>
    <w:rsid w:val="00DF0FA9"/>
    <w:rsid w:val="00DF358D"/>
    <w:rsid w:val="00DF79F5"/>
    <w:rsid w:val="00E01F25"/>
    <w:rsid w:val="00E02F9A"/>
    <w:rsid w:val="00E04DAF"/>
    <w:rsid w:val="00E07AF7"/>
    <w:rsid w:val="00E106F1"/>
    <w:rsid w:val="00E137AB"/>
    <w:rsid w:val="00E17BEB"/>
    <w:rsid w:val="00E2103C"/>
    <w:rsid w:val="00E21342"/>
    <w:rsid w:val="00E22A9E"/>
    <w:rsid w:val="00E22B8A"/>
    <w:rsid w:val="00E22F34"/>
    <w:rsid w:val="00E2455D"/>
    <w:rsid w:val="00E2461F"/>
    <w:rsid w:val="00E26A10"/>
    <w:rsid w:val="00E2780C"/>
    <w:rsid w:val="00E27D2D"/>
    <w:rsid w:val="00E30507"/>
    <w:rsid w:val="00E31A7F"/>
    <w:rsid w:val="00E348C3"/>
    <w:rsid w:val="00E36B91"/>
    <w:rsid w:val="00E40F9B"/>
    <w:rsid w:val="00E41AEE"/>
    <w:rsid w:val="00E4435F"/>
    <w:rsid w:val="00E446E6"/>
    <w:rsid w:val="00E449DA"/>
    <w:rsid w:val="00E46072"/>
    <w:rsid w:val="00E46600"/>
    <w:rsid w:val="00E533C5"/>
    <w:rsid w:val="00E538F7"/>
    <w:rsid w:val="00E57015"/>
    <w:rsid w:val="00E60B29"/>
    <w:rsid w:val="00E629C9"/>
    <w:rsid w:val="00E667E9"/>
    <w:rsid w:val="00E707C5"/>
    <w:rsid w:val="00E74887"/>
    <w:rsid w:val="00E75DCC"/>
    <w:rsid w:val="00E76467"/>
    <w:rsid w:val="00E76DCF"/>
    <w:rsid w:val="00E774D9"/>
    <w:rsid w:val="00E82228"/>
    <w:rsid w:val="00E83292"/>
    <w:rsid w:val="00E85166"/>
    <w:rsid w:val="00E8586B"/>
    <w:rsid w:val="00E87599"/>
    <w:rsid w:val="00E91182"/>
    <w:rsid w:val="00E9755C"/>
    <w:rsid w:val="00E9775C"/>
    <w:rsid w:val="00EB00F6"/>
    <w:rsid w:val="00EB0552"/>
    <w:rsid w:val="00EB6476"/>
    <w:rsid w:val="00EB7355"/>
    <w:rsid w:val="00EC156E"/>
    <w:rsid w:val="00EC74FB"/>
    <w:rsid w:val="00EC7D00"/>
    <w:rsid w:val="00ED1713"/>
    <w:rsid w:val="00ED2325"/>
    <w:rsid w:val="00ED32C1"/>
    <w:rsid w:val="00ED4B53"/>
    <w:rsid w:val="00ED5CA4"/>
    <w:rsid w:val="00ED73AF"/>
    <w:rsid w:val="00EE1685"/>
    <w:rsid w:val="00EE18FD"/>
    <w:rsid w:val="00EE1C50"/>
    <w:rsid w:val="00EE7982"/>
    <w:rsid w:val="00EF48CD"/>
    <w:rsid w:val="00EF4E86"/>
    <w:rsid w:val="00EF5DD7"/>
    <w:rsid w:val="00F00AB1"/>
    <w:rsid w:val="00F0389F"/>
    <w:rsid w:val="00F06ACC"/>
    <w:rsid w:val="00F07E4D"/>
    <w:rsid w:val="00F13842"/>
    <w:rsid w:val="00F156FE"/>
    <w:rsid w:val="00F1670A"/>
    <w:rsid w:val="00F206A9"/>
    <w:rsid w:val="00F24D38"/>
    <w:rsid w:val="00F252EB"/>
    <w:rsid w:val="00F310CC"/>
    <w:rsid w:val="00F36723"/>
    <w:rsid w:val="00F37BD6"/>
    <w:rsid w:val="00F4241B"/>
    <w:rsid w:val="00F43D6E"/>
    <w:rsid w:val="00F505E0"/>
    <w:rsid w:val="00F5141D"/>
    <w:rsid w:val="00F54796"/>
    <w:rsid w:val="00F550C2"/>
    <w:rsid w:val="00F55769"/>
    <w:rsid w:val="00F5600D"/>
    <w:rsid w:val="00F57D97"/>
    <w:rsid w:val="00F57E0F"/>
    <w:rsid w:val="00F602C2"/>
    <w:rsid w:val="00F62AAB"/>
    <w:rsid w:val="00F6401F"/>
    <w:rsid w:val="00F65FB0"/>
    <w:rsid w:val="00F71F57"/>
    <w:rsid w:val="00F733BF"/>
    <w:rsid w:val="00F74333"/>
    <w:rsid w:val="00F832FF"/>
    <w:rsid w:val="00F840E8"/>
    <w:rsid w:val="00F8444C"/>
    <w:rsid w:val="00F84B45"/>
    <w:rsid w:val="00F90CF6"/>
    <w:rsid w:val="00F9757C"/>
    <w:rsid w:val="00FA3E90"/>
    <w:rsid w:val="00FB6495"/>
    <w:rsid w:val="00FB66ED"/>
    <w:rsid w:val="00FB7542"/>
    <w:rsid w:val="00FB796D"/>
    <w:rsid w:val="00FB7D8E"/>
    <w:rsid w:val="00FB7FF2"/>
    <w:rsid w:val="00FC369C"/>
    <w:rsid w:val="00FC4860"/>
    <w:rsid w:val="00FC6F38"/>
    <w:rsid w:val="00FC766F"/>
    <w:rsid w:val="00FD0FF0"/>
    <w:rsid w:val="00FD231C"/>
    <w:rsid w:val="00FD2608"/>
    <w:rsid w:val="00FD31B0"/>
    <w:rsid w:val="00FD7450"/>
    <w:rsid w:val="00FE0343"/>
    <w:rsid w:val="00FE159B"/>
    <w:rsid w:val="00FE188D"/>
    <w:rsid w:val="00FE3DED"/>
    <w:rsid w:val="00FF11A4"/>
    <w:rsid w:val="00FF1308"/>
    <w:rsid w:val="00FF4016"/>
    <w:rsid w:val="00FF5D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D47"/>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07BE5"/>
    <w:pPr>
      <w:ind w:left="720"/>
    </w:pPr>
  </w:style>
  <w:style w:type="paragraph" w:styleId="Nagwek">
    <w:name w:val="header"/>
    <w:basedOn w:val="Normalny"/>
    <w:link w:val="NagwekZnak"/>
    <w:uiPriority w:val="99"/>
    <w:rsid w:val="00F57D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D97"/>
  </w:style>
  <w:style w:type="paragraph" w:styleId="Stopka">
    <w:name w:val="footer"/>
    <w:basedOn w:val="Normalny"/>
    <w:link w:val="StopkaZnak"/>
    <w:uiPriority w:val="99"/>
    <w:rsid w:val="00F57D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D97"/>
  </w:style>
  <w:style w:type="table" w:styleId="Tabela-Siatka">
    <w:name w:val="Table Grid"/>
    <w:basedOn w:val="Standardowy"/>
    <w:uiPriority w:val="59"/>
    <w:rsid w:val="009802A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A81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42B"/>
    <w:rPr>
      <w:rFonts w:ascii="Tahoma" w:hAnsi="Tahoma" w:cs="Tahoma"/>
      <w:sz w:val="16"/>
      <w:szCs w:val="16"/>
    </w:rPr>
  </w:style>
  <w:style w:type="character" w:styleId="Hipercze">
    <w:name w:val="Hyperlink"/>
    <w:basedOn w:val="Domylnaczcionkaakapitu"/>
    <w:uiPriority w:val="99"/>
    <w:rsid w:val="00392BAE"/>
    <w:rPr>
      <w:color w:val="auto"/>
      <w:u w:val="none"/>
      <w:effect w:val="none"/>
    </w:rPr>
  </w:style>
  <w:style w:type="paragraph" w:styleId="Bezodstpw">
    <w:name w:val="No Spacing"/>
    <w:uiPriority w:val="1"/>
    <w:qFormat/>
    <w:rsid w:val="00392BAE"/>
    <w:rPr>
      <w:rFonts w:cs="Calibri"/>
      <w:sz w:val="22"/>
      <w:szCs w:val="22"/>
      <w:lang w:eastAsia="en-US"/>
    </w:rPr>
  </w:style>
  <w:style w:type="paragraph" w:styleId="Tekstprzypisukocowego">
    <w:name w:val="endnote text"/>
    <w:basedOn w:val="Normalny"/>
    <w:link w:val="TekstprzypisukocowegoZnak"/>
    <w:uiPriority w:val="99"/>
    <w:semiHidden/>
    <w:unhideWhenUsed/>
    <w:rsid w:val="00E245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455D"/>
    <w:rPr>
      <w:rFonts w:cs="Calibri"/>
      <w:lang w:eastAsia="en-US"/>
    </w:rPr>
  </w:style>
  <w:style w:type="character" w:styleId="Odwoanieprzypisukocowego">
    <w:name w:val="endnote reference"/>
    <w:basedOn w:val="Domylnaczcionkaakapitu"/>
    <w:uiPriority w:val="99"/>
    <w:semiHidden/>
    <w:unhideWhenUsed/>
    <w:rsid w:val="00E245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D47"/>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07BE5"/>
    <w:pPr>
      <w:ind w:left="720"/>
    </w:pPr>
  </w:style>
  <w:style w:type="paragraph" w:styleId="Nagwek">
    <w:name w:val="header"/>
    <w:basedOn w:val="Normalny"/>
    <w:link w:val="NagwekZnak"/>
    <w:uiPriority w:val="99"/>
    <w:rsid w:val="00F57D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D97"/>
  </w:style>
  <w:style w:type="paragraph" w:styleId="Stopka">
    <w:name w:val="footer"/>
    <w:basedOn w:val="Normalny"/>
    <w:link w:val="StopkaZnak"/>
    <w:uiPriority w:val="99"/>
    <w:rsid w:val="00F57D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D97"/>
  </w:style>
  <w:style w:type="table" w:styleId="Tabela-Siatka">
    <w:name w:val="Table Grid"/>
    <w:basedOn w:val="Standardowy"/>
    <w:uiPriority w:val="59"/>
    <w:rsid w:val="009802A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A81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42B"/>
    <w:rPr>
      <w:rFonts w:ascii="Tahoma" w:hAnsi="Tahoma" w:cs="Tahoma"/>
      <w:sz w:val="16"/>
      <w:szCs w:val="16"/>
    </w:rPr>
  </w:style>
  <w:style w:type="character" w:styleId="Hipercze">
    <w:name w:val="Hyperlink"/>
    <w:basedOn w:val="Domylnaczcionkaakapitu"/>
    <w:uiPriority w:val="99"/>
    <w:rsid w:val="00392BAE"/>
    <w:rPr>
      <w:color w:val="auto"/>
      <w:u w:val="none"/>
      <w:effect w:val="none"/>
    </w:rPr>
  </w:style>
  <w:style w:type="paragraph" w:styleId="Bezodstpw">
    <w:name w:val="No Spacing"/>
    <w:uiPriority w:val="1"/>
    <w:qFormat/>
    <w:rsid w:val="00392BAE"/>
    <w:rPr>
      <w:rFonts w:cs="Calibri"/>
      <w:sz w:val="22"/>
      <w:szCs w:val="22"/>
      <w:lang w:eastAsia="en-US"/>
    </w:rPr>
  </w:style>
  <w:style w:type="paragraph" w:styleId="Tekstprzypisukocowego">
    <w:name w:val="endnote text"/>
    <w:basedOn w:val="Normalny"/>
    <w:link w:val="TekstprzypisukocowegoZnak"/>
    <w:uiPriority w:val="99"/>
    <w:semiHidden/>
    <w:unhideWhenUsed/>
    <w:rsid w:val="00E245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455D"/>
    <w:rPr>
      <w:rFonts w:cs="Calibri"/>
      <w:lang w:eastAsia="en-US"/>
    </w:rPr>
  </w:style>
  <w:style w:type="character" w:styleId="Odwoanieprzypisukocowego">
    <w:name w:val="endnote reference"/>
    <w:basedOn w:val="Domylnaczcionkaakapitu"/>
    <w:uiPriority w:val="99"/>
    <w:semiHidden/>
    <w:unhideWhenUsed/>
    <w:rsid w:val="00E24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791">
      <w:bodyDiv w:val="1"/>
      <w:marLeft w:val="0"/>
      <w:marRight w:val="0"/>
      <w:marTop w:val="0"/>
      <w:marBottom w:val="0"/>
      <w:divBdr>
        <w:top w:val="none" w:sz="0" w:space="0" w:color="auto"/>
        <w:left w:val="none" w:sz="0" w:space="0" w:color="auto"/>
        <w:bottom w:val="none" w:sz="0" w:space="0" w:color="auto"/>
        <w:right w:val="none" w:sz="0" w:space="0" w:color="auto"/>
      </w:divBdr>
    </w:div>
    <w:div w:id="10958037">
      <w:bodyDiv w:val="1"/>
      <w:marLeft w:val="0"/>
      <w:marRight w:val="0"/>
      <w:marTop w:val="0"/>
      <w:marBottom w:val="0"/>
      <w:divBdr>
        <w:top w:val="none" w:sz="0" w:space="0" w:color="auto"/>
        <w:left w:val="none" w:sz="0" w:space="0" w:color="auto"/>
        <w:bottom w:val="none" w:sz="0" w:space="0" w:color="auto"/>
        <w:right w:val="none" w:sz="0" w:space="0" w:color="auto"/>
      </w:divBdr>
    </w:div>
    <w:div w:id="15816624">
      <w:bodyDiv w:val="1"/>
      <w:marLeft w:val="0"/>
      <w:marRight w:val="0"/>
      <w:marTop w:val="0"/>
      <w:marBottom w:val="0"/>
      <w:divBdr>
        <w:top w:val="none" w:sz="0" w:space="0" w:color="auto"/>
        <w:left w:val="none" w:sz="0" w:space="0" w:color="auto"/>
        <w:bottom w:val="none" w:sz="0" w:space="0" w:color="auto"/>
        <w:right w:val="none" w:sz="0" w:space="0" w:color="auto"/>
      </w:divBdr>
    </w:div>
    <w:div w:id="36585705">
      <w:bodyDiv w:val="1"/>
      <w:marLeft w:val="0"/>
      <w:marRight w:val="0"/>
      <w:marTop w:val="0"/>
      <w:marBottom w:val="0"/>
      <w:divBdr>
        <w:top w:val="none" w:sz="0" w:space="0" w:color="auto"/>
        <w:left w:val="none" w:sz="0" w:space="0" w:color="auto"/>
        <w:bottom w:val="none" w:sz="0" w:space="0" w:color="auto"/>
        <w:right w:val="none" w:sz="0" w:space="0" w:color="auto"/>
      </w:divBdr>
    </w:div>
    <w:div w:id="61946951">
      <w:bodyDiv w:val="1"/>
      <w:marLeft w:val="0"/>
      <w:marRight w:val="0"/>
      <w:marTop w:val="0"/>
      <w:marBottom w:val="0"/>
      <w:divBdr>
        <w:top w:val="none" w:sz="0" w:space="0" w:color="auto"/>
        <w:left w:val="none" w:sz="0" w:space="0" w:color="auto"/>
        <w:bottom w:val="none" w:sz="0" w:space="0" w:color="auto"/>
        <w:right w:val="none" w:sz="0" w:space="0" w:color="auto"/>
      </w:divBdr>
    </w:div>
    <w:div w:id="89477272">
      <w:bodyDiv w:val="1"/>
      <w:marLeft w:val="0"/>
      <w:marRight w:val="0"/>
      <w:marTop w:val="0"/>
      <w:marBottom w:val="0"/>
      <w:divBdr>
        <w:top w:val="none" w:sz="0" w:space="0" w:color="auto"/>
        <w:left w:val="none" w:sz="0" w:space="0" w:color="auto"/>
        <w:bottom w:val="none" w:sz="0" w:space="0" w:color="auto"/>
        <w:right w:val="none" w:sz="0" w:space="0" w:color="auto"/>
      </w:divBdr>
    </w:div>
    <w:div w:id="89786143">
      <w:bodyDiv w:val="1"/>
      <w:marLeft w:val="0"/>
      <w:marRight w:val="0"/>
      <w:marTop w:val="0"/>
      <w:marBottom w:val="0"/>
      <w:divBdr>
        <w:top w:val="none" w:sz="0" w:space="0" w:color="auto"/>
        <w:left w:val="none" w:sz="0" w:space="0" w:color="auto"/>
        <w:bottom w:val="none" w:sz="0" w:space="0" w:color="auto"/>
        <w:right w:val="none" w:sz="0" w:space="0" w:color="auto"/>
      </w:divBdr>
    </w:div>
    <w:div w:id="101347522">
      <w:bodyDiv w:val="1"/>
      <w:marLeft w:val="0"/>
      <w:marRight w:val="0"/>
      <w:marTop w:val="0"/>
      <w:marBottom w:val="0"/>
      <w:divBdr>
        <w:top w:val="none" w:sz="0" w:space="0" w:color="auto"/>
        <w:left w:val="none" w:sz="0" w:space="0" w:color="auto"/>
        <w:bottom w:val="none" w:sz="0" w:space="0" w:color="auto"/>
        <w:right w:val="none" w:sz="0" w:space="0" w:color="auto"/>
      </w:divBdr>
    </w:div>
    <w:div w:id="114258465">
      <w:bodyDiv w:val="1"/>
      <w:marLeft w:val="0"/>
      <w:marRight w:val="0"/>
      <w:marTop w:val="0"/>
      <w:marBottom w:val="0"/>
      <w:divBdr>
        <w:top w:val="none" w:sz="0" w:space="0" w:color="auto"/>
        <w:left w:val="none" w:sz="0" w:space="0" w:color="auto"/>
        <w:bottom w:val="none" w:sz="0" w:space="0" w:color="auto"/>
        <w:right w:val="none" w:sz="0" w:space="0" w:color="auto"/>
      </w:divBdr>
    </w:div>
    <w:div w:id="142696856">
      <w:bodyDiv w:val="1"/>
      <w:marLeft w:val="0"/>
      <w:marRight w:val="0"/>
      <w:marTop w:val="0"/>
      <w:marBottom w:val="0"/>
      <w:divBdr>
        <w:top w:val="none" w:sz="0" w:space="0" w:color="auto"/>
        <w:left w:val="none" w:sz="0" w:space="0" w:color="auto"/>
        <w:bottom w:val="none" w:sz="0" w:space="0" w:color="auto"/>
        <w:right w:val="none" w:sz="0" w:space="0" w:color="auto"/>
      </w:divBdr>
    </w:div>
    <w:div w:id="146367208">
      <w:bodyDiv w:val="1"/>
      <w:marLeft w:val="0"/>
      <w:marRight w:val="0"/>
      <w:marTop w:val="0"/>
      <w:marBottom w:val="0"/>
      <w:divBdr>
        <w:top w:val="none" w:sz="0" w:space="0" w:color="auto"/>
        <w:left w:val="none" w:sz="0" w:space="0" w:color="auto"/>
        <w:bottom w:val="none" w:sz="0" w:space="0" w:color="auto"/>
        <w:right w:val="none" w:sz="0" w:space="0" w:color="auto"/>
      </w:divBdr>
    </w:div>
    <w:div w:id="168719708">
      <w:bodyDiv w:val="1"/>
      <w:marLeft w:val="0"/>
      <w:marRight w:val="0"/>
      <w:marTop w:val="0"/>
      <w:marBottom w:val="0"/>
      <w:divBdr>
        <w:top w:val="none" w:sz="0" w:space="0" w:color="auto"/>
        <w:left w:val="none" w:sz="0" w:space="0" w:color="auto"/>
        <w:bottom w:val="none" w:sz="0" w:space="0" w:color="auto"/>
        <w:right w:val="none" w:sz="0" w:space="0" w:color="auto"/>
      </w:divBdr>
    </w:div>
    <w:div w:id="189924917">
      <w:bodyDiv w:val="1"/>
      <w:marLeft w:val="0"/>
      <w:marRight w:val="0"/>
      <w:marTop w:val="0"/>
      <w:marBottom w:val="0"/>
      <w:divBdr>
        <w:top w:val="none" w:sz="0" w:space="0" w:color="auto"/>
        <w:left w:val="none" w:sz="0" w:space="0" w:color="auto"/>
        <w:bottom w:val="none" w:sz="0" w:space="0" w:color="auto"/>
        <w:right w:val="none" w:sz="0" w:space="0" w:color="auto"/>
      </w:divBdr>
    </w:div>
    <w:div w:id="198203284">
      <w:bodyDiv w:val="1"/>
      <w:marLeft w:val="0"/>
      <w:marRight w:val="0"/>
      <w:marTop w:val="0"/>
      <w:marBottom w:val="0"/>
      <w:divBdr>
        <w:top w:val="none" w:sz="0" w:space="0" w:color="auto"/>
        <w:left w:val="none" w:sz="0" w:space="0" w:color="auto"/>
        <w:bottom w:val="none" w:sz="0" w:space="0" w:color="auto"/>
        <w:right w:val="none" w:sz="0" w:space="0" w:color="auto"/>
      </w:divBdr>
    </w:div>
    <w:div w:id="212037839">
      <w:bodyDiv w:val="1"/>
      <w:marLeft w:val="0"/>
      <w:marRight w:val="0"/>
      <w:marTop w:val="0"/>
      <w:marBottom w:val="0"/>
      <w:divBdr>
        <w:top w:val="none" w:sz="0" w:space="0" w:color="auto"/>
        <w:left w:val="none" w:sz="0" w:space="0" w:color="auto"/>
        <w:bottom w:val="none" w:sz="0" w:space="0" w:color="auto"/>
        <w:right w:val="none" w:sz="0" w:space="0" w:color="auto"/>
      </w:divBdr>
    </w:div>
    <w:div w:id="227693970">
      <w:bodyDiv w:val="1"/>
      <w:marLeft w:val="0"/>
      <w:marRight w:val="0"/>
      <w:marTop w:val="0"/>
      <w:marBottom w:val="0"/>
      <w:divBdr>
        <w:top w:val="none" w:sz="0" w:space="0" w:color="auto"/>
        <w:left w:val="none" w:sz="0" w:space="0" w:color="auto"/>
        <w:bottom w:val="none" w:sz="0" w:space="0" w:color="auto"/>
        <w:right w:val="none" w:sz="0" w:space="0" w:color="auto"/>
      </w:divBdr>
    </w:div>
    <w:div w:id="240876161">
      <w:bodyDiv w:val="1"/>
      <w:marLeft w:val="0"/>
      <w:marRight w:val="0"/>
      <w:marTop w:val="0"/>
      <w:marBottom w:val="0"/>
      <w:divBdr>
        <w:top w:val="none" w:sz="0" w:space="0" w:color="auto"/>
        <w:left w:val="none" w:sz="0" w:space="0" w:color="auto"/>
        <w:bottom w:val="none" w:sz="0" w:space="0" w:color="auto"/>
        <w:right w:val="none" w:sz="0" w:space="0" w:color="auto"/>
      </w:divBdr>
    </w:div>
    <w:div w:id="240917119">
      <w:bodyDiv w:val="1"/>
      <w:marLeft w:val="0"/>
      <w:marRight w:val="0"/>
      <w:marTop w:val="0"/>
      <w:marBottom w:val="0"/>
      <w:divBdr>
        <w:top w:val="none" w:sz="0" w:space="0" w:color="auto"/>
        <w:left w:val="none" w:sz="0" w:space="0" w:color="auto"/>
        <w:bottom w:val="none" w:sz="0" w:space="0" w:color="auto"/>
        <w:right w:val="none" w:sz="0" w:space="0" w:color="auto"/>
      </w:divBdr>
    </w:div>
    <w:div w:id="332993080">
      <w:bodyDiv w:val="1"/>
      <w:marLeft w:val="0"/>
      <w:marRight w:val="0"/>
      <w:marTop w:val="0"/>
      <w:marBottom w:val="0"/>
      <w:divBdr>
        <w:top w:val="none" w:sz="0" w:space="0" w:color="auto"/>
        <w:left w:val="none" w:sz="0" w:space="0" w:color="auto"/>
        <w:bottom w:val="none" w:sz="0" w:space="0" w:color="auto"/>
        <w:right w:val="none" w:sz="0" w:space="0" w:color="auto"/>
      </w:divBdr>
    </w:div>
    <w:div w:id="351689117">
      <w:bodyDiv w:val="1"/>
      <w:marLeft w:val="0"/>
      <w:marRight w:val="0"/>
      <w:marTop w:val="0"/>
      <w:marBottom w:val="0"/>
      <w:divBdr>
        <w:top w:val="none" w:sz="0" w:space="0" w:color="auto"/>
        <w:left w:val="none" w:sz="0" w:space="0" w:color="auto"/>
        <w:bottom w:val="none" w:sz="0" w:space="0" w:color="auto"/>
        <w:right w:val="none" w:sz="0" w:space="0" w:color="auto"/>
      </w:divBdr>
    </w:div>
    <w:div w:id="371001314">
      <w:bodyDiv w:val="1"/>
      <w:marLeft w:val="0"/>
      <w:marRight w:val="0"/>
      <w:marTop w:val="0"/>
      <w:marBottom w:val="0"/>
      <w:divBdr>
        <w:top w:val="none" w:sz="0" w:space="0" w:color="auto"/>
        <w:left w:val="none" w:sz="0" w:space="0" w:color="auto"/>
        <w:bottom w:val="none" w:sz="0" w:space="0" w:color="auto"/>
        <w:right w:val="none" w:sz="0" w:space="0" w:color="auto"/>
      </w:divBdr>
    </w:div>
    <w:div w:id="397870732">
      <w:bodyDiv w:val="1"/>
      <w:marLeft w:val="0"/>
      <w:marRight w:val="0"/>
      <w:marTop w:val="0"/>
      <w:marBottom w:val="0"/>
      <w:divBdr>
        <w:top w:val="none" w:sz="0" w:space="0" w:color="auto"/>
        <w:left w:val="none" w:sz="0" w:space="0" w:color="auto"/>
        <w:bottom w:val="none" w:sz="0" w:space="0" w:color="auto"/>
        <w:right w:val="none" w:sz="0" w:space="0" w:color="auto"/>
      </w:divBdr>
    </w:div>
    <w:div w:id="399980448">
      <w:bodyDiv w:val="1"/>
      <w:marLeft w:val="0"/>
      <w:marRight w:val="0"/>
      <w:marTop w:val="0"/>
      <w:marBottom w:val="0"/>
      <w:divBdr>
        <w:top w:val="none" w:sz="0" w:space="0" w:color="auto"/>
        <w:left w:val="none" w:sz="0" w:space="0" w:color="auto"/>
        <w:bottom w:val="none" w:sz="0" w:space="0" w:color="auto"/>
        <w:right w:val="none" w:sz="0" w:space="0" w:color="auto"/>
      </w:divBdr>
    </w:div>
    <w:div w:id="415519657">
      <w:bodyDiv w:val="1"/>
      <w:marLeft w:val="0"/>
      <w:marRight w:val="0"/>
      <w:marTop w:val="0"/>
      <w:marBottom w:val="0"/>
      <w:divBdr>
        <w:top w:val="none" w:sz="0" w:space="0" w:color="auto"/>
        <w:left w:val="none" w:sz="0" w:space="0" w:color="auto"/>
        <w:bottom w:val="none" w:sz="0" w:space="0" w:color="auto"/>
        <w:right w:val="none" w:sz="0" w:space="0" w:color="auto"/>
      </w:divBdr>
    </w:div>
    <w:div w:id="443699150">
      <w:bodyDiv w:val="1"/>
      <w:marLeft w:val="0"/>
      <w:marRight w:val="0"/>
      <w:marTop w:val="0"/>
      <w:marBottom w:val="0"/>
      <w:divBdr>
        <w:top w:val="none" w:sz="0" w:space="0" w:color="auto"/>
        <w:left w:val="none" w:sz="0" w:space="0" w:color="auto"/>
        <w:bottom w:val="none" w:sz="0" w:space="0" w:color="auto"/>
        <w:right w:val="none" w:sz="0" w:space="0" w:color="auto"/>
      </w:divBdr>
    </w:div>
    <w:div w:id="463431369">
      <w:bodyDiv w:val="1"/>
      <w:marLeft w:val="0"/>
      <w:marRight w:val="0"/>
      <w:marTop w:val="0"/>
      <w:marBottom w:val="0"/>
      <w:divBdr>
        <w:top w:val="none" w:sz="0" w:space="0" w:color="auto"/>
        <w:left w:val="none" w:sz="0" w:space="0" w:color="auto"/>
        <w:bottom w:val="none" w:sz="0" w:space="0" w:color="auto"/>
        <w:right w:val="none" w:sz="0" w:space="0" w:color="auto"/>
      </w:divBdr>
    </w:div>
    <w:div w:id="467743794">
      <w:bodyDiv w:val="1"/>
      <w:marLeft w:val="0"/>
      <w:marRight w:val="0"/>
      <w:marTop w:val="0"/>
      <w:marBottom w:val="0"/>
      <w:divBdr>
        <w:top w:val="none" w:sz="0" w:space="0" w:color="auto"/>
        <w:left w:val="none" w:sz="0" w:space="0" w:color="auto"/>
        <w:bottom w:val="none" w:sz="0" w:space="0" w:color="auto"/>
        <w:right w:val="none" w:sz="0" w:space="0" w:color="auto"/>
      </w:divBdr>
    </w:div>
    <w:div w:id="481698619">
      <w:bodyDiv w:val="1"/>
      <w:marLeft w:val="0"/>
      <w:marRight w:val="0"/>
      <w:marTop w:val="0"/>
      <w:marBottom w:val="0"/>
      <w:divBdr>
        <w:top w:val="none" w:sz="0" w:space="0" w:color="auto"/>
        <w:left w:val="none" w:sz="0" w:space="0" w:color="auto"/>
        <w:bottom w:val="none" w:sz="0" w:space="0" w:color="auto"/>
        <w:right w:val="none" w:sz="0" w:space="0" w:color="auto"/>
      </w:divBdr>
    </w:div>
    <w:div w:id="502357265">
      <w:bodyDiv w:val="1"/>
      <w:marLeft w:val="0"/>
      <w:marRight w:val="0"/>
      <w:marTop w:val="0"/>
      <w:marBottom w:val="0"/>
      <w:divBdr>
        <w:top w:val="none" w:sz="0" w:space="0" w:color="auto"/>
        <w:left w:val="none" w:sz="0" w:space="0" w:color="auto"/>
        <w:bottom w:val="none" w:sz="0" w:space="0" w:color="auto"/>
        <w:right w:val="none" w:sz="0" w:space="0" w:color="auto"/>
      </w:divBdr>
    </w:div>
    <w:div w:id="519391082">
      <w:bodyDiv w:val="1"/>
      <w:marLeft w:val="0"/>
      <w:marRight w:val="0"/>
      <w:marTop w:val="0"/>
      <w:marBottom w:val="0"/>
      <w:divBdr>
        <w:top w:val="none" w:sz="0" w:space="0" w:color="auto"/>
        <w:left w:val="none" w:sz="0" w:space="0" w:color="auto"/>
        <w:bottom w:val="none" w:sz="0" w:space="0" w:color="auto"/>
        <w:right w:val="none" w:sz="0" w:space="0" w:color="auto"/>
      </w:divBdr>
    </w:div>
    <w:div w:id="533613945">
      <w:bodyDiv w:val="1"/>
      <w:marLeft w:val="0"/>
      <w:marRight w:val="0"/>
      <w:marTop w:val="0"/>
      <w:marBottom w:val="0"/>
      <w:divBdr>
        <w:top w:val="none" w:sz="0" w:space="0" w:color="auto"/>
        <w:left w:val="none" w:sz="0" w:space="0" w:color="auto"/>
        <w:bottom w:val="none" w:sz="0" w:space="0" w:color="auto"/>
        <w:right w:val="none" w:sz="0" w:space="0" w:color="auto"/>
      </w:divBdr>
    </w:div>
    <w:div w:id="547646232">
      <w:bodyDiv w:val="1"/>
      <w:marLeft w:val="0"/>
      <w:marRight w:val="0"/>
      <w:marTop w:val="0"/>
      <w:marBottom w:val="0"/>
      <w:divBdr>
        <w:top w:val="none" w:sz="0" w:space="0" w:color="auto"/>
        <w:left w:val="none" w:sz="0" w:space="0" w:color="auto"/>
        <w:bottom w:val="none" w:sz="0" w:space="0" w:color="auto"/>
        <w:right w:val="none" w:sz="0" w:space="0" w:color="auto"/>
      </w:divBdr>
    </w:div>
    <w:div w:id="603269780">
      <w:bodyDiv w:val="1"/>
      <w:marLeft w:val="0"/>
      <w:marRight w:val="0"/>
      <w:marTop w:val="0"/>
      <w:marBottom w:val="0"/>
      <w:divBdr>
        <w:top w:val="none" w:sz="0" w:space="0" w:color="auto"/>
        <w:left w:val="none" w:sz="0" w:space="0" w:color="auto"/>
        <w:bottom w:val="none" w:sz="0" w:space="0" w:color="auto"/>
        <w:right w:val="none" w:sz="0" w:space="0" w:color="auto"/>
      </w:divBdr>
    </w:div>
    <w:div w:id="610861973">
      <w:bodyDiv w:val="1"/>
      <w:marLeft w:val="0"/>
      <w:marRight w:val="0"/>
      <w:marTop w:val="0"/>
      <w:marBottom w:val="0"/>
      <w:divBdr>
        <w:top w:val="none" w:sz="0" w:space="0" w:color="auto"/>
        <w:left w:val="none" w:sz="0" w:space="0" w:color="auto"/>
        <w:bottom w:val="none" w:sz="0" w:space="0" w:color="auto"/>
        <w:right w:val="none" w:sz="0" w:space="0" w:color="auto"/>
      </w:divBdr>
    </w:div>
    <w:div w:id="656148725">
      <w:bodyDiv w:val="1"/>
      <w:marLeft w:val="0"/>
      <w:marRight w:val="0"/>
      <w:marTop w:val="0"/>
      <w:marBottom w:val="0"/>
      <w:divBdr>
        <w:top w:val="none" w:sz="0" w:space="0" w:color="auto"/>
        <w:left w:val="none" w:sz="0" w:space="0" w:color="auto"/>
        <w:bottom w:val="none" w:sz="0" w:space="0" w:color="auto"/>
        <w:right w:val="none" w:sz="0" w:space="0" w:color="auto"/>
      </w:divBdr>
    </w:div>
    <w:div w:id="665939298">
      <w:bodyDiv w:val="1"/>
      <w:marLeft w:val="0"/>
      <w:marRight w:val="0"/>
      <w:marTop w:val="0"/>
      <w:marBottom w:val="0"/>
      <w:divBdr>
        <w:top w:val="none" w:sz="0" w:space="0" w:color="auto"/>
        <w:left w:val="none" w:sz="0" w:space="0" w:color="auto"/>
        <w:bottom w:val="none" w:sz="0" w:space="0" w:color="auto"/>
        <w:right w:val="none" w:sz="0" w:space="0" w:color="auto"/>
      </w:divBdr>
    </w:div>
    <w:div w:id="677462731">
      <w:bodyDiv w:val="1"/>
      <w:marLeft w:val="0"/>
      <w:marRight w:val="0"/>
      <w:marTop w:val="0"/>
      <w:marBottom w:val="0"/>
      <w:divBdr>
        <w:top w:val="none" w:sz="0" w:space="0" w:color="auto"/>
        <w:left w:val="none" w:sz="0" w:space="0" w:color="auto"/>
        <w:bottom w:val="none" w:sz="0" w:space="0" w:color="auto"/>
        <w:right w:val="none" w:sz="0" w:space="0" w:color="auto"/>
      </w:divBdr>
    </w:div>
    <w:div w:id="696007003">
      <w:bodyDiv w:val="1"/>
      <w:marLeft w:val="0"/>
      <w:marRight w:val="0"/>
      <w:marTop w:val="0"/>
      <w:marBottom w:val="0"/>
      <w:divBdr>
        <w:top w:val="none" w:sz="0" w:space="0" w:color="auto"/>
        <w:left w:val="none" w:sz="0" w:space="0" w:color="auto"/>
        <w:bottom w:val="none" w:sz="0" w:space="0" w:color="auto"/>
        <w:right w:val="none" w:sz="0" w:space="0" w:color="auto"/>
      </w:divBdr>
    </w:div>
    <w:div w:id="731461298">
      <w:bodyDiv w:val="1"/>
      <w:marLeft w:val="0"/>
      <w:marRight w:val="0"/>
      <w:marTop w:val="0"/>
      <w:marBottom w:val="0"/>
      <w:divBdr>
        <w:top w:val="none" w:sz="0" w:space="0" w:color="auto"/>
        <w:left w:val="none" w:sz="0" w:space="0" w:color="auto"/>
        <w:bottom w:val="none" w:sz="0" w:space="0" w:color="auto"/>
        <w:right w:val="none" w:sz="0" w:space="0" w:color="auto"/>
      </w:divBdr>
    </w:div>
    <w:div w:id="739137611">
      <w:bodyDiv w:val="1"/>
      <w:marLeft w:val="0"/>
      <w:marRight w:val="0"/>
      <w:marTop w:val="0"/>
      <w:marBottom w:val="0"/>
      <w:divBdr>
        <w:top w:val="none" w:sz="0" w:space="0" w:color="auto"/>
        <w:left w:val="none" w:sz="0" w:space="0" w:color="auto"/>
        <w:bottom w:val="none" w:sz="0" w:space="0" w:color="auto"/>
        <w:right w:val="none" w:sz="0" w:space="0" w:color="auto"/>
      </w:divBdr>
    </w:div>
    <w:div w:id="753278349">
      <w:bodyDiv w:val="1"/>
      <w:marLeft w:val="0"/>
      <w:marRight w:val="0"/>
      <w:marTop w:val="0"/>
      <w:marBottom w:val="0"/>
      <w:divBdr>
        <w:top w:val="none" w:sz="0" w:space="0" w:color="auto"/>
        <w:left w:val="none" w:sz="0" w:space="0" w:color="auto"/>
        <w:bottom w:val="none" w:sz="0" w:space="0" w:color="auto"/>
        <w:right w:val="none" w:sz="0" w:space="0" w:color="auto"/>
      </w:divBdr>
    </w:div>
    <w:div w:id="806316711">
      <w:bodyDiv w:val="1"/>
      <w:marLeft w:val="0"/>
      <w:marRight w:val="0"/>
      <w:marTop w:val="0"/>
      <w:marBottom w:val="0"/>
      <w:divBdr>
        <w:top w:val="none" w:sz="0" w:space="0" w:color="auto"/>
        <w:left w:val="none" w:sz="0" w:space="0" w:color="auto"/>
        <w:bottom w:val="none" w:sz="0" w:space="0" w:color="auto"/>
        <w:right w:val="none" w:sz="0" w:space="0" w:color="auto"/>
      </w:divBdr>
    </w:div>
    <w:div w:id="813986768">
      <w:bodyDiv w:val="1"/>
      <w:marLeft w:val="0"/>
      <w:marRight w:val="0"/>
      <w:marTop w:val="0"/>
      <w:marBottom w:val="0"/>
      <w:divBdr>
        <w:top w:val="none" w:sz="0" w:space="0" w:color="auto"/>
        <w:left w:val="none" w:sz="0" w:space="0" w:color="auto"/>
        <w:bottom w:val="none" w:sz="0" w:space="0" w:color="auto"/>
        <w:right w:val="none" w:sz="0" w:space="0" w:color="auto"/>
      </w:divBdr>
    </w:div>
    <w:div w:id="822698319">
      <w:bodyDiv w:val="1"/>
      <w:marLeft w:val="0"/>
      <w:marRight w:val="0"/>
      <w:marTop w:val="0"/>
      <w:marBottom w:val="0"/>
      <w:divBdr>
        <w:top w:val="none" w:sz="0" w:space="0" w:color="auto"/>
        <w:left w:val="none" w:sz="0" w:space="0" w:color="auto"/>
        <w:bottom w:val="none" w:sz="0" w:space="0" w:color="auto"/>
        <w:right w:val="none" w:sz="0" w:space="0" w:color="auto"/>
      </w:divBdr>
    </w:div>
    <w:div w:id="847453082">
      <w:bodyDiv w:val="1"/>
      <w:marLeft w:val="0"/>
      <w:marRight w:val="0"/>
      <w:marTop w:val="0"/>
      <w:marBottom w:val="0"/>
      <w:divBdr>
        <w:top w:val="none" w:sz="0" w:space="0" w:color="auto"/>
        <w:left w:val="none" w:sz="0" w:space="0" w:color="auto"/>
        <w:bottom w:val="none" w:sz="0" w:space="0" w:color="auto"/>
        <w:right w:val="none" w:sz="0" w:space="0" w:color="auto"/>
      </w:divBdr>
    </w:div>
    <w:div w:id="869104206">
      <w:bodyDiv w:val="1"/>
      <w:marLeft w:val="0"/>
      <w:marRight w:val="0"/>
      <w:marTop w:val="0"/>
      <w:marBottom w:val="0"/>
      <w:divBdr>
        <w:top w:val="none" w:sz="0" w:space="0" w:color="auto"/>
        <w:left w:val="none" w:sz="0" w:space="0" w:color="auto"/>
        <w:bottom w:val="none" w:sz="0" w:space="0" w:color="auto"/>
        <w:right w:val="none" w:sz="0" w:space="0" w:color="auto"/>
      </w:divBdr>
    </w:div>
    <w:div w:id="894894289">
      <w:bodyDiv w:val="1"/>
      <w:marLeft w:val="0"/>
      <w:marRight w:val="0"/>
      <w:marTop w:val="0"/>
      <w:marBottom w:val="0"/>
      <w:divBdr>
        <w:top w:val="none" w:sz="0" w:space="0" w:color="auto"/>
        <w:left w:val="none" w:sz="0" w:space="0" w:color="auto"/>
        <w:bottom w:val="none" w:sz="0" w:space="0" w:color="auto"/>
        <w:right w:val="none" w:sz="0" w:space="0" w:color="auto"/>
      </w:divBdr>
    </w:div>
    <w:div w:id="902839776">
      <w:bodyDiv w:val="1"/>
      <w:marLeft w:val="0"/>
      <w:marRight w:val="0"/>
      <w:marTop w:val="0"/>
      <w:marBottom w:val="0"/>
      <w:divBdr>
        <w:top w:val="none" w:sz="0" w:space="0" w:color="auto"/>
        <w:left w:val="none" w:sz="0" w:space="0" w:color="auto"/>
        <w:bottom w:val="none" w:sz="0" w:space="0" w:color="auto"/>
        <w:right w:val="none" w:sz="0" w:space="0" w:color="auto"/>
      </w:divBdr>
    </w:div>
    <w:div w:id="904729109">
      <w:bodyDiv w:val="1"/>
      <w:marLeft w:val="0"/>
      <w:marRight w:val="0"/>
      <w:marTop w:val="0"/>
      <w:marBottom w:val="0"/>
      <w:divBdr>
        <w:top w:val="none" w:sz="0" w:space="0" w:color="auto"/>
        <w:left w:val="none" w:sz="0" w:space="0" w:color="auto"/>
        <w:bottom w:val="none" w:sz="0" w:space="0" w:color="auto"/>
        <w:right w:val="none" w:sz="0" w:space="0" w:color="auto"/>
      </w:divBdr>
    </w:div>
    <w:div w:id="952982940">
      <w:bodyDiv w:val="1"/>
      <w:marLeft w:val="0"/>
      <w:marRight w:val="0"/>
      <w:marTop w:val="0"/>
      <w:marBottom w:val="0"/>
      <w:divBdr>
        <w:top w:val="none" w:sz="0" w:space="0" w:color="auto"/>
        <w:left w:val="none" w:sz="0" w:space="0" w:color="auto"/>
        <w:bottom w:val="none" w:sz="0" w:space="0" w:color="auto"/>
        <w:right w:val="none" w:sz="0" w:space="0" w:color="auto"/>
      </w:divBdr>
    </w:div>
    <w:div w:id="1020276487">
      <w:bodyDiv w:val="1"/>
      <w:marLeft w:val="0"/>
      <w:marRight w:val="0"/>
      <w:marTop w:val="0"/>
      <w:marBottom w:val="0"/>
      <w:divBdr>
        <w:top w:val="none" w:sz="0" w:space="0" w:color="auto"/>
        <w:left w:val="none" w:sz="0" w:space="0" w:color="auto"/>
        <w:bottom w:val="none" w:sz="0" w:space="0" w:color="auto"/>
        <w:right w:val="none" w:sz="0" w:space="0" w:color="auto"/>
      </w:divBdr>
    </w:div>
    <w:div w:id="1036390164">
      <w:bodyDiv w:val="1"/>
      <w:marLeft w:val="0"/>
      <w:marRight w:val="0"/>
      <w:marTop w:val="0"/>
      <w:marBottom w:val="0"/>
      <w:divBdr>
        <w:top w:val="none" w:sz="0" w:space="0" w:color="auto"/>
        <w:left w:val="none" w:sz="0" w:space="0" w:color="auto"/>
        <w:bottom w:val="none" w:sz="0" w:space="0" w:color="auto"/>
        <w:right w:val="none" w:sz="0" w:space="0" w:color="auto"/>
      </w:divBdr>
    </w:div>
    <w:div w:id="1036660429">
      <w:bodyDiv w:val="1"/>
      <w:marLeft w:val="0"/>
      <w:marRight w:val="0"/>
      <w:marTop w:val="0"/>
      <w:marBottom w:val="0"/>
      <w:divBdr>
        <w:top w:val="none" w:sz="0" w:space="0" w:color="auto"/>
        <w:left w:val="none" w:sz="0" w:space="0" w:color="auto"/>
        <w:bottom w:val="none" w:sz="0" w:space="0" w:color="auto"/>
        <w:right w:val="none" w:sz="0" w:space="0" w:color="auto"/>
      </w:divBdr>
    </w:div>
    <w:div w:id="1081177750">
      <w:bodyDiv w:val="1"/>
      <w:marLeft w:val="0"/>
      <w:marRight w:val="0"/>
      <w:marTop w:val="0"/>
      <w:marBottom w:val="0"/>
      <w:divBdr>
        <w:top w:val="none" w:sz="0" w:space="0" w:color="auto"/>
        <w:left w:val="none" w:sz="0" w:space="0" w:color="auto"/>
        <w:bottom w:val="none" w:sz="0" w:space="0" w:color="auto"/>
        <w:right w:val="none" w:sz="0" w:space="0" w:color="auto"/>
      </w:divBdr>
    </w:div>
    <w:div w:id="1117137778">
      <w:bodyDiv w:val="1"/>
      <w:marLeft w:val="0"/>
      <w:marRight w:val="0"/>
      <w:marTop w:val="0"/>
      <w:marBottom w:val="0"/>
      <w:divBdr>
        <w:top w:val="none" w:sz="0" w:space="0" w:color="auto"/>
        <w:left w:val="none" w:sz="0" w:space="0" w:color="auto"/>
        <w:bottom w:val="none" w:sz="0" w:space="0" w:color="auto"/>
        <w:right w:val="none" w:sz="0" w:space="0" w:color="auto"/>
      </w:divBdr>
    </w:div>
    <w:div w:id="1133446055">
      <w:bodyDiv w:val="1"/>
      <w:marLeft w:val="0"/>
      <w:marRight w:val="0"/>
      <w:marTop w:val="0"/>
      <w:marBottom w:val="0"/>
      <w:divBdr>
        <w:top w:val="none" w:sz="0" w:space="0" w:color="auto"/>
        <w:left w:val="none" w:sz="0" w:space="0" w:color="auto"/>
        <w:bottom w:val="none" w:sz="0" w:space="0" w:color="auto"/>
        <w:right w:val="none" w:sz="0" w:space="0" w:color="auto"/>
      </w:divBdr>
    </w:div>
    <w:div w:id="1162500944">
      <w:bodyDiv w:val="1"/>
      <w:marLeft w:val="0"/>
      <w:marRight w:val="0"/>
      <w:marTop w:val="0"/>
      <w:marBottom w:val="0"/>
      <w:divBdr>
        <w:top w:val="none" w:sz="0" w:space="0" w:color="auto"/>
        <w:left w:val="none" w:sz="0" w:space="0" w:color="auto"/>
        <w:bottom w:val="none" w:sz="0" w:space="0" w:color="auto"/>
        <w:right w:val="none" w:sz="0" w:space="0" w:color="auto"/>
      </w:divBdr>
    </w:div>
    <w:div w:id="1164975883">
      <w:bodyDiv w:val="1"/>
      <w:marLeft w:val="0"/>
      <w:marRight w:val="0"/>
      <w:marTop w:val="0"/>
      <w:marBottom w:val="0"/>
      <w:divBdr>
        <w:top w:val="none" w:sz="0" w:space="0" w:color="auto"/>
        <w:left w:val="none" w:sz="0" w:space="0" w:color="auto"/>
        <w:bottom w:val="none" w:sz="0" w:space="0" w:color="auto"/>
        <w:right w:val="none" w:sz="0" w:space="0" w:color="auto"/>
      </w:divBdr>
    </w:div>
    <w:div w:id="1190340872">
      <w:bodyDiv w:val="1"/>
      <w:marLeft w:val="0"/>
      <w:marRight w:val="0"/>
      <w:marTop w:val="0"/>
      <w:marBottom w:val="0"/>
      <w:divBdr>
        <w:top w:val="none" w:sz="0" w:space="0" w:color="auto"/>
        <w:left w:val="none" w:sz="0" w:space="0" w:color="auto"/>
        <w:bottom w:val="none" w:sz="0" w:space="0" w:color="auto"/>
        <w:right w:val="none" w:sz="0" w:space="0" w:color="auto"/>
      </w:divBdr>
    </w:div>
    <w:div w:id="1196696189">
      <w:bodyDiv w:val="1"/>
      <w:marLeft w:val="0"/>
      <w:marRight w:val="0"/>
      <w:marTop w:val="0"/>
      <w:marBottom w:val="0"/>
      <w:divBdr>
        <w:top w:val="none" w:sz="0" w:space="0" w:color="auto"/>
        <w:left w:val="none" w:sz="0" w:space="0" w:color="auto"/>
        <w:bottom w:val="none" w:sz="0" w:space="0" w:color="auto"/>
        <w:right w:val="none" w:sz="0" w:space="0" w:color="auto"/>
      </w:divBdr>
    </w:div>
    <w:div w:id="1202128026">
      <w:bodyDiv w:val="1"/>
      <w:marLeft w:val="0"/>
      <w:marRight w:val="0"/>
      <w:marTop w:val="0"/>
      <w:marBottom w:val="0"/>
      <w:divBdr>
        <w:top w:val="none" w:sz="0" w:space="0" w:color="auto"/>
        <w:left w:val="none" w:sz="0" w:space="0" w:color="auto"/>
        <w:bottom w:val="none" w:sz="0" w:space="0" w:color="auto"/>
        <w:right w:val="none" w:sz="0" w:space="0" w:color="auto"/>
      </w:divBdr>
    </w:div>
    <w:div w:id="1202788500">
      <w:bodyDiv w:val="1"/>
      <w:marLeft w:val="0"/>
      <w:marRight w:val="0"/>
      <w:marTop w:val="0"/>
      <w:marBottom w:val="0"/>
      <w:divBdr>
        <w:top w:val="none" w:sz="0" w:space="0" w:color="auto"/>
        <w:left w:val="none" w:sz="0" w:space="0" w:color="auto"/>
        <w:bottom w:val="none" w:sz="0" w:space="0" w:color="auto"/>
        <w:right w:val="none" w:sz="0" w:space="0" w:color="auto"/>
      </w:divBdr>
    </w:div>
    <w:div w:id="1209874599">
      <w:bodyDiv w:val="1"/>
      <w:marLeft w:val="0"/>
      <w:marRight w:val="0"/>
      <w:marTop w:val="0"/>
      <w:marBottom w:val="0"/>
      <w:divBdr>
        <w:top w:val="none" w:sz="0" w:space="0" w:color="auto"/>
        <w:left w:val="none" w:sz="0" w:space="0" w:color="auto"/>
        <w:bottom w:val="none" w:sz="0" w:space="0" w:color="auto"/>
        <w:right w:val="none" w:sz="0" w:space="0" w:color="auto"/>
      </w:divBdr>
    </w:div>
    <w:div w:id="1219394386">
      <w:bodyDiv w:val="1"/>
      <w:marLeft w:val="0"/>
      <w:marRight w:val="0"/>
      <w:marTop w:val="0"/>
      <w:marBottom w:val="0"/>
      <w:divBdr>
        <w:top w:val="none" w:sz="0" w:space="0" w:color="auto"/>
        <w:left w:val="none" w:sz="0" w:space="0" w:color="auto"/>
        <w:bottom w:val="none" w:sz="0" w:space="0" w:color="auto"/>
        <w:right w:val="none" w:sz="0" w:space="0" w:color="auto"/>
      </w:divBdr>
    </w:div>
    <w:div w:id="1227957721">
      <w:bodyDiv w:val="1"/>
      <w:marLeft w:val="0"/>
      <w:marRight w:val="0"/>
      <w:marTop w:val="0"/>
      <w:marBottom w:val="0"/>
      <w:divBdr>
        <w:top w:val="none" w:sz="0" w:space="0" w:color="auto"/>
        <w:left w:val="none" w:sz="0" w:space="0" w:color="auto"/>
        <w:bottom w:val="none" w:sz="0" w:space="0" w:color="auto"/>
        <w:right w:val="none" w:sz="0" w:space="0" w:color="auto"/>
      </w:divBdr>
    </w:div>
    <w:div w:id="1240793099">
      <w:bodyDiv w:val="1"/>
      <w:marLeft w:val="0"/>
      <w:marRight w:val="0"/>
      <w:marTop w:val="0"/>
      <w:marBottom w:val="0"/>
      <w:divBdr>
        <w:top w:val="none" w:sz="0" w:space="0" w:color="auto"/>
        <w:left w:val="none" w:sz="0" w:space="0" w:color="auto"/>
        <w:bottom w:val="none" w:sz="0" w:space="0" w:color="auto"/>
        <w:right w:val="none" w:sz="0" w:space="0" w:color="auto"/>
      </w:divBdr>
    </w:div>
    <w:div w:id="1251310160">
      <w:bodyDiv w:val="1"/>
      <w:marLeft w:val="0"/>
      <w:marRight w:val="0"/>
      <w:marTop w:val="0"/>
      <w:marBottom w:val="0"/>
      <w:divBdr>
        <w:top w:val="none" w:sz="0" w:space="0" w:color="auto"/>
        <w:left w:val="none" w:sz="0" w:space="0" w:color="auto"/>
        <w:bottom w:val="none" w:sz="0" w:space="0" w:color="auto"/>
        <w:right w:val="none" w:sz="0" w:space="0" w:color="auto"/>
      </w:divBdr>
    </w:div>
    <w:div w:id="1260216902">
      <w:bodyDiv w:val="1"/>
      <w:marLeft w:val="0"/>
      <w:marRight w:val="0"/>
      <w:marTop w:val="0"/>
      <w:marBottom w:val="0"/>
      <w:divBdr>
        <w:top w:val="none" w:sz="0" w:space="0" w:color="auto"/>
        <w:left w:val="none" w:sz="0" w:space="0" w:color="auto"/>
        <w:bottom w:val="none" w:sz="0" w:space="0" w:color="auto"/>
        <w:right w:val="none" w:sz="0" w:space="0" w:color="auto"/>
      </w:divBdr>
    </w:div>
    <w:div w:id="1279801231">
      <w:bodyDiv w:val="1"/>
      <w:marLeft w:val="0"/>
      <w:marRight w:val="0"/>
      <w:marTop w:val="0"/>
      <w:marBottom w:val="0"/>
      <w:divBdr>
        <w:top w:val="none" w:sz="0" w:space="0" w:color="auto"/>
        <w:left w:val="none" w:sz="0" w:space="0" w:color="auto"/>
        <w:bottom w:val="none" w:sz="0" w:space="0" w:color="auto"/>
        <w:right w:val="none" w:sz="0" w:space="0" w:color="auto"/>
      </w:divBdr>
    </w:div>
    <w:div w:id="1306350333">
      <w:bodyDiv w:val="1"/>
      <w:marLeft w:val="0"/>
      <w:marRight w:val="0"/>
      <w:marTop w:val="0"/>
      <w:marBottom w:val="0"/>
      <w:divBdr>
        <w:top w:val="none" w:sz="0" w:space="0" w:color="auto"/>
        <w:left w:val="none" w:sz="0" w:space="0" w:color="auto"/>
        <w:bottom w:val="none" w:sz="0" w:space="0" w:color="auto"/>
        <w:right w:val="none" w:sz="0" w:space="0" w:color="auto"/>
      </w:divBdr>
    </w:div>
    <w:div w:id="1385062549">
      <w:bodyDiv w:val="1"/>
      <w:marLeft w:val="0"/>
      <w:marRight w:val="0"/>
      <w:marTop w:val="0"/>
      <w:marBottom w:val="0"/>
      <w:divBdr>
        <w:top w:val="none" w:sz="0" w:space="0" w:color="auto"/>
        <w:left w:val="none" w:sz="0" w:space="0" w:color="auto"/>
        <w:bottom w:val="none" w:sz="0" w:space="0" w:color="auto"/>
        <w:right w:val="none" w:sz="0" w:space="0" w:color="auto"/>
      </w:divBdr>
    </w:div>
    <w:div w:id="1409384261">
      <w:bodyDiv w:val="1"/>
      <w:marLeft w:val="0"/>
      <w:marRight w:val="0"/>
      <w:marTop w:val="0"/>
      <w:marBottom w:val="0"/>
      <w:divBdr>
        <w:top w:val="none" w:sz="0" w:space="0" w:color="auto"/>
        <w:left w:val="none" w:sz="0" w:space="0" w:color="auto"/>
        <w:bottom w:val="none" w:sz="0" w:space="0" w:color="auto"/>
        <w:right w:val="none" w:sz="0" w:space="0" w:color="auto"/>
      </w:divBdr>
    </w:div>
    <w:div w:id="1416634851">
      <w:bodyDiv w:val="1"/>
      <w:marLeft w:val="0"/>
      <w:marRight w:val="0"/>
      <w:marTop w:val="0"/>
      <w:marBottom w:val="0"/>
      <w:divBdr>
        <w:top w:val="none" w:sz="0" w:space="0" w:color="auto"/>
        <w:left w:val="none" w:sz="0" w:space="0" w:color="auto"/>
        <w:bottom w:val="none" w:sz="0" w:space="0" w:color="auto"/>
        <w:right w:val="none" w:sz="0" w:space="0" w:color="auto"/>
      </w:divBdr>
    </w:div>
    <w:div w:id="1454903698">
      <w:bodyDiv w:val="1"/>
      <w:marLeft w:val="0"/>
      <w:marRight w:val="0"/>
      <w:marTop w:val="0"/>
      <w:marBottom w:val="0"/>
      <w:divBdr>
        <w:top w:val="none" w:sz="0" w:space="0" w:color="auto"/>
        <w:left w:val="none" w:sz="0" w:space="0" w:color="auto"/>
        <w:bottom w:val="none" w:sz="0" w:space="0" w:color="auto"/>
        <w:right w:val="none" w:sz="0" w:space="0" w:color="auto"/>
      </w:divBdr>
    </w:div>
    <w:div w:id="1478910252">
      <w:bodyDiv w:val="1"/>
      <w:marLeft w:val="0"/>
      <w:marRight w:val="0"/>
      <w:marTop w:val="0"/>
      <w:marBottom w:val="0"/>
      <w:divBdr>
        <w:top w:val="none" w:sz="0" w:space="0" w:color="auto"/>
        <w:left w:val="none" w:sz="0" w:space="0" w:color="auto"/>
        <w:bottom w:val="none" w:sz="0" w:space="0" w:color="auto"/>
        <w:right w:val="none" w:sz="0" w:space="0" w:color="auto"/>
      </w:divBdr>
    </w:div>
    <w:div w:id="1492789379">
      <w:bodyDiv w:val="1"/>
      <w:marLeft w:val="0"/>
      <w:marRight w:val="0"/>
      <w:marTop w:val="0"/>
      <w:marBottom w:val="0"/>
      <w:divBdr>
        <w:top w:val="none" w:sz="0" w:space="0" w:color="auto"/>
        <w:left w:val="none" w:sz="0" w:space="0" w:color="auto"/>
        <w:bottom w:val="none" w:sz="0" w:space="0" w:color="auto"/>
        <w:right w:val="none" w:sz="0" w:space="0" w:color="auto"/>
      </w:divBdr>
    </w:div>
    <w:div w:id="1505969329">
      <w:bodyDiv w:val="1"/>
      <w:marLeft w:val="0"/>
      <w:marRight w:val="0"/>
      <w:marTop w:val="0"/>
      <w:marBottom w:val="0"/>
      <w:divBdr>
        <w:top w:val="none" w:sz="0" w:space="0" w:color="auto"/>
        <w:left w:val="none" w:sz="0" w:space="0" w:color="auto"/>
        <w:bottom w:val="none" w:sz="0" w:space="0" w:color="auto"/>
        <w:right w:val="none" w:sz="0" w:space="0" w:color="auto"/>
      </w:divBdr>
    </w:div>
    <w:div w:id="1511916798">
      <w:bodyDiv w:val="1"/>
      <w:marLeft w:val="0"/>
      <w:marRight w:val="0"/>
      <w:marTop w:val="0"/>
      <w:marBottom w:val="0"/>
      <w:divBdr>
        <w:top w:val="none" w:sz="0" w:space="0" w:color="auto"/>
        <w:left w:val="none" w:sz="0" w:space="0" w:color="auto"/>
        <w:bottom w:val="none" w:sz="0" w:space="0" w:color="auto"/>
        <w:right w:val="none" w:sz="0" w:space="0" w:color="auto"/>
      </w:divBdr>
    </w:div>
    <w:div w:id="1523936610">
      <w:bodyDiv w:val="1"/>
      <w:marLeft w:val="0"/>
      <w:marRight w:val="0"/>
      <w:marTop w:val="0"/>
      <w:marBottom w:val="0"/>
      <w:divBdr>
        <w:top w:val="none" w:sz="0" w:space="0" w:color="auto"/>
        <w:left w:val="none" w:sz="0" w:space="0" w:color="auto"/>
        <w:bottom w:val="none" w:sz="0" w:space="0" w:color="auto"/>
        <w:right w:val="none" w:sz="0" w:space="0" w:color="auto"/>
      </w:divBdr>
    </w:div>
    <w:div w:id="1534151946">
      <w:bodyDiv w:val="1"/>
      <w:marLeft w:val="0"/>
      <w:marRight w:val="0"/>
      <w:marTop w:val="0"/>
      <w:marBottom w:val="0"/>
      <w:divBdr>
        <w:top w:val="none" w:sz="0" w:space="0" w:color="auto"/>
        <w:left w:val="none" w:sz="0" w:space="0" w:color="auto"/>
        <w:bottom w:val="none" w:sz="0" w:space="0" w:color="auto"/>
        <w:right w:val="none" w:sz="0" w:space="0" w:color="auto"/>
      </w:divBdr>
    </w:div>
    <w:div w:id="1592155294">
      <w:bodyDiv w:val="1"/>
      <w:marLeft w:val="0"/>
      <w:marRight w:val="0"/>
      <w:marTop w:val="0"/>
      <w:marBottom w:val="0"/>
      <w:divBdr>
        <w:top w:val="none" w:sz="0" w:space="0" w:color="auto"/>
        <w:left w:val="none" w:sz="0" w:space="0" w:color="auto"/>
        <w:bottom w:val="none" w:sz="0" w:space="0" w:color="auto"/>
        <w:right w:val="none" w:sz="0" w:space="0" w:color="auto"/>
      </w:divBdr>
    </w:div>
    <w:div w:id="1592854903">
      <w:bodyDiv w:val="1"/>
      <w:marLeft w:val="0"/>
      <w:marRight w:val="0"/>
      <w:marTop w:val="0"/>
      <w:marBottom w:val="0"/>
      <w:divBdr>
        <w:top w:val="none" w:sz="0" w:space="0" w:color="auto"/>
        <w:left w:val="none" w:sz="0" w:space="0" w:color="auto"/>
        <w:bottom w:val="none" w:sz="0" w:space="0" w:color="auto"/>
        <w:right w:val="none" w:sz="0" w:space="0" w:color="auto"/>
      </w:divBdr>
    </w:div>
    <w:div w:id="1602226105">
      <w:bodyDiv w:val="1"/>
      <w:marLeft w:val="0"/>
      <w:marRight w:val="0"/>
      <w:marTop w:val="0"/>
      <w:marBottom w:val="0"/>
      <w:divBdr>
        <w:top w:val="none" w:sz="0" w:space="0" w:color="auto"/>
        <w:left w:val="none" w:sz="0" w:space="0" w:color="auto"/>
        <w:bottom w:val="none" w:sz="0" w:space="0" w:color="auto"/>
        <w:right w:val="none" w:sz="0" w:space="0" w:color="auto"/>
      </w:divBdr>
    </w:div>
    <w:div w:id="1604655270">
      <w:bodyDiv w:val="1"/>
      <w:marLeft w:val="0"/>
      <w:marRight w:val="0"/>
      <w:marTop w:val="0"/>
      <w:marBottom w:val="0"/>
      <w:divBdr>
        <w:top w:val="none" w:sz="0" w:space="0" w:color="auto"/>
        <w:left w:val="none" w:sz="0" w:space="0" w:color="auto"/>
        <w:bottom w:val="none" w:sz="0" w:space="0" w:color="auto"/>
        <w:right w:val="none" w:sz="0" w:space="0" w:color="auto"/>
      </w:divBdr>
    </w:div>
    <w:div w:id="1606158581">
      <w:bodyDiv w:val="1"/>
      <w:marLeft w:val="0"/>
      <w:marRight w:val="0"/>
      <w:marTop w:val="0"/>
      <w:marBottom w:val="0"/>
      <w:divBdr>
        <w:top w:val="none" w:sz="0" w:space="0" w:color="auto"/>
        <w:left w:val="none" w:sz="0" w:space="0" w:color="auto"/>
        <w:bottom w:val="none" w:sz="0" w:space="0" w:color="auto"/>
        <w:right w:val="none" w:sz="0" w:space="0" w:color="auto"/>
      </w:divBdr>
    </w:div>
    <w:div w:id="1632981899">
      <w:bodyDiv w:val="1"/>
      <w:marLeft w:val="0"/>
      <w:marRight w:val="0"/>
      <w:marTop w:val="0"/>
      <w:marBottom w:val="0"/>
      <w:divBdr>
        <w:top w:val="none" w:sz="0" w:space="0" w:color="auto"/>
        <w:left w:val="none" w:sz="0" w:space="0" w:color="auto"/>
        <w:bottom w:val="none" w:sz="0" w:space="0" w:color="auto"/>
        <w:right w:val="none" w:sz="0" w:space="0" w:color="auto"/>
      </w:divBdr>
    </w:div>
    <w:div w:id="1673675799">
      <w:bodyDiv w:val="1"/>
      <w:marLeft w:val="0"/>
      <w:marRight w:val="0"/>
      <w:marTop w:val="0"/>
      <w:marBottom w:val="0"/>
      <w:divBdr>
        <w:top w:val="none" w:sz="0" w:space="0" w:color="auto"/>
        <w:left w:val="none" w:sz="0" w:space="0" w:color="auto"/>
        <w:bottom w:val="none" w:sz="0" w:space="0" w:color="auto"/>
        <w:right w:val="none" w:sz="0" w:space="0" w:color="auto"/>
      </w:divBdr>
    </w:div>
    <w:div w:id="1687365781">
      <w:bodyDiv w:val="1"/>
      <w:marLeft w:val="0"/>
      <w:marRight w:val="0"/>
      <w:marTop w:val="0"/>
      <w:marBottom w:val="0"/>
      <w:divBdr>
        <w:top w:val="none" w:sz="0" w:space="0" w:color="auto"/>
        <w:left w:val="none" w:sz="0" w:space="0" w:color="auto"/>
        <w:bottom w:val="none" w:sz="0" w:space="0" w:color="auto"/>
        <w:right w:val="none" w:sz="0" w:space="0" w:color="auto"/>
      </w:divBdr>
    </w:div>
    <w:div w:id="1695419670">
      <w:bodyDiv w:val="1"/>
      <w:marLeft w:val="0"/>
      <w:marRight w:val="0"/>
      <w:marTop w:val="0"/>
      <w:marBottom w:val="0"/>
      <w:divBdr>
        <w:top w:val="none" w:sz="0" w:space="0" w:color="auto"/>
        <w:left w:val="none" w:sz="0" w:space="0" w:color="auto"/>
        <w:bottom w:val="none" w:sz="0" w:space="0" w:color="auto"/>
        <w:right w:val="none" w:sz="0" w:space="0" w:color="auto"/>
      </w:divBdr>
    </w:div>
    <w:div w:id="1714305012">
      <w:bodyDiv w:val="1"/>
      <w:marLeft w:val="0"/>
      <w:marRight w:val="0"/>
      <w:marTop w:val="0"/>
      <w:marBottom w:val="0"/>
      <w:divBdr>
        <w:top w:val="none" w:sz="0" w:space="0" w:color="auto"/>
        <w:left w:val="none" w:sz="0" w:space="0" w:color="auto"/>
        <w:bottom w:val="none" w:sz="0" w:space="0" w:color="auto"/>
        <w:right w:val="none" w:sz="0" w:space="0" w:color="auto"/>
      </w:divBdr>
    </w:div>
    <w:div w:id="1723676142">
      <w:bodyDiv w:val="1"/>
      <w:marLeft w:val="0"/>
      <w:marRight w:val="0"/>
      <w:marTop w:val="0"/>
      <w:marBottom w:val="0"/>
      <w:divBdr>
        <w:top w:val="none" w:sz="0" w:space="0" w:color="auto"/>
        <w:left w:val="none" w:sz="0" w:space="0" w:color="auto"/>
        <w:bottom w:val="none" w:sz="0" w:space="0" w:color="auto"/>
        <w:right w:val="none" w:sz="0" w:space="0" w:color="auto"/>
      </w:divBdr>
    </w:div>
    <w:div w:id="1752238967">
      <w:bodyDiv w:val="1"/>
      <w:marLeft w:val="0"/>
      <w:marRight w:val="0"/>
      <w:marTop w:val="0"/>
      <w:marBottom w:val="0"/>
      <w:divBdr>
        <w:top w:val="none" w:sz="0" w:space="0" w:color="auto"/>
        <w:left w:val="none" w:sz="0" w:space="0" w:color="auto"/>
        <w:bottom w:val="none" w:sz="0" w:space="0" w:color="auto"/>
        <w:right w:val="none" w:sz="0" w:space="0" w:color="auto"/>
      </w:divBdr>
    </w:div>
    <w:div w:id="1755857288">
      <w:bodyDiv w:val="1"/>
      <w:marLeft w:val="0"/>
      <w:marRight w:val="0"/>
      <w:marTop w:val="0"/>
      <w:marBottom w:val="0"/>
      <w:divBdr>
        <w:top w:val="none" w:sz="0" w:space="0" w:color="auto"/>
        <w:left w:val="none" w:sz="0" w:space="0" w:color="auto"/>
        <w:bottom w:val="none" w:sz="0" w:space="0" w:color="auto"/>
        <w:right w:val="none" w:sz="0" w:space="0" w:color="auto"/>
      </w:divBdr>
    </w:div>
    <w:div w:id="1755976169">
      <w:bodyDiv w:val="1"/>
      <w:marLeft w:val="0"/>
      <w:marRight w:val="0"/>
      <w:marTop w:val="0"/>
      <w:marBottom w:val="0"/>
      <w:divBdr>
        <w:top w:val="none" w:sz="0" w:space="0" w:color="auto"/>
        <w:left w:val="none" w:sz="0" w:space="0" w:color="auto"/>
        <w:bottom w:val="none" w:sz="0" w:space="0" w:color="auto"/>
        <w:right w:val="none" w:sz="0" w:space="0" w:color="auto"/>
      </w:divBdr>
    </w:div>
    <w:div w:id="1764647983">
      <w:bodyDiv w:val="1"/>
      <w:marLeft w:val="0"/>
      <w:marRight w:val="0"/>
      <w:marTop w:val="0"/>
      <w:marBottom w:val="0"/>
      <w:divBdr>
        <w:top w:val="none" w:sz="0" w:space="0" w:color="auto"/>
        <w:left w:val="none" w:sz="0" w:space="0" w:color="auto"/>
        <w:bottom w:val="none" w:sz="0" w:space="0" w:color="auto"/>
        <w:right w:val="none" w:sz="0" w:space="0" w:color="auto"/>
      </w:divBdr>
    </w:div>
    <w:div w:id="1769736377">
      <w:marLeft w:val="0"/>
      <w:marRight w:val="0"/>
      <w:marTop w:val="0"/>
      <w:marBottom w:val="0"/>
      <w:divBdr>
        <w:top w:val="none" w:sz="0" w:space="0" w:color="auto"/>
        <w:left w:val="none" w:sz="0" w:space="0" w:color="auto"/>
        <w:bottom w:val="none" w:sz="0" w:space="0" w:color="auto"/>
        <w:right w:val="none" w:sz="0" w:space="0" w:color="auto"/>
      </w:divBdr>
    </w:div>
    <w:div w:id="1769736378">
      <w:marLeft w:val="0"/>
      <w:marRight w:val="0"/>
      <w:marTop w:val="0"/>
      <w:marBottom w:val="0"/>
      <w:divBdr>
        <w:top w:val="none" w:sz="0" w:space="0" w:color="auto"/>
        <w:left w:val="none" w:sz="0" w:space="0" w:color="auto"/>
        <w:bottom w:val="none" w:sz="0" w:space="0" w:color="auto"/>
        <w:right w:val="none" w:sz="0" w:space="0" w:color="auto"/>
      </w:divBdr>
    </w:div>
    <w:div w:id="1769736379">
      <w:marLeft w:val="0"/>
      <w:marRight w:val="0"/>
      <w:marTop w:val="0"/>
      <w:marBottom w:val="0"/>
      <w:divBdr>
        <w:top w:val="none" w:sz="0" w:space="0" w:color="auto"/>
        <w:left w:val="none" w:sz="0" w:space="0" w:color="auto"/>
        <w:bottom w:val="none" w:sz="0" w:space="0" w:color="auto"/>
        <w:right w:val="none" w:sz="0" w:space="0" w:color="auto"/>
      </w:divBdr>
    </w:div>
    <w:div w:id="1769736380">
      <w:marLeft w:val="0"/>
      <w:marRight w:val="0"/>
      <w:marTop w:val="0"/>
      <w:marBottom w:val="0"/>
      <w:divBdr>
        <w:top w:val="none" w:sz="0" w:space="0" w:color="auto"/>
        <w:left w:val="none" w:sz="0" w:space="0" w:color="auto"/>
        <w:bottom w:val="none" w:sz="0" w:space="0" w:color="auto"/>
        <w:right w:val="none" w:sz="0" w:space="0" w:color="auto"/>
      </w:divBdr>
    </w:div>
    <w:div w:id="1769736381">
      <w:marLeft w:val="0"/>
      <w:marRight w:val="0"/>
      <w:marTop w:val="0"/>
      <w:marBottom w:val="0"/>
      <w:divBdr>
        <w:top w:val="none" w:sz="0" w:space="0" w:color="auto"/>
        <w:left w:val="none" w:sz="0" w:space="0" w:color="auto"/>
        <w:bottom w:val="none" w:sz="0" w:space="0" w:color="auto"/>
        <w:right w:val="none" w:sz="0" w:space="0" w:color="auto"/>
      </w:divBdr>
    </w:div>
    <w:div w:id="1769736382">
      <w:marLeft w:val="0"/>
      <w:marRight w:val="0"/>
      <w:marTop w:val="0"/>
      <w:marBottom w:val="0"/>
      <w:divBdr>
        <w:top w:val="none" w:sz="0" w:space="0" w:color="auto"/>
        <w:left w:val="none" w:sz="0" w:space="0" w:color="auto"/>
        <w:bottom w:val="none" w:sz="0" w:space="0" w:color="auto"/>
        <w:right w:val="none" w:sz="0" w:space="0" w:color="auto"/>
      </w:divBdr>
    </w:div>
    <w:div w:id="1769736383">
      <w:marLeft w:val="0"/>
      <w:marRight w:val="0"/>
      <w:marTop w:val="0"/>
      <w:marBottom w:val="0"/>
      <w:divBdr>
        <w:top w:val="none" w:sz="0" w:space="0" w:color="auto"/>
        <w:left w:val="none" w:sz="0" w:space="0" w:color="auto"/>
        <w:bottom w:val="none" w:sz="0" w:space="0" w:color="auto"/>
        <w:right w:val="none" w:sz="0" w:space="0" w:color="auto"/>
      </w:divBdr>
    </w:div>
    <w:div w:id="1769736384">
      <w:marLeft w:val="0"/>
      <w:marRight w:val="0"/>
      <w:marTop w:val="0"/>
      <w:marBottom w:val="0"/>
      <w:divBdr>
        <w:top w:val="none" w:sz="0" w:space="0" w:color="auto"/>
        <w:left w:val="none" w:sz="0" w:space="0" w:color="auto"/>
        <w:bottom w:val="none" w:sz="0" w:space="0" w:color="auto"/>
        <w:right w:val="none" w:sz="0" w:space="0" w:color="auto"/>
      </w:divBdr>
    </w:div>
    <w:div w:id="1769736385">
      <w:marLeft w:val="0"/>
      <w:marRight w:val="0"/>
      <w:marTop w:val="0"/>
      <w:marBottom w:val="0"/>
      <w:divBdr>
        <w:top w:val="none" w:sz="0" w:space="0" w:color="auto"/>
        <w:left w:val="none" w:sz="0" w:space="0" w:color="auto"/>
        <w:bottom w:val="none" w:sz="0" w:space="0" w:color="auto"/>
        <w:right w:val="none" w:sz="0" w:space="0" w:color="auto"/>
      </w:divBdr>
    </w:div>
    <w:div w:id="1769736386">
      <w:marLeft w:val="0"/>
      <w:marRight w:val="0"/>
      <w:marTop w:val="0"/>
      <w:marBottom w:val="0"/>
      <w:divBdr>
        <w:top w:val="none" w:sz="0" w:space="0" w:color="auto"/>
        <w:left w:val="none" w:sz="0" w:space="0" w:color="auto"/>
        <w:bottom w:val="none" w:sz="0" w:space="0" w:color="auto"/>
        <w:right w:val="none" w:sz="0" w:space="0" w:color="auto"/>
      </w:divBdr>
    </w:div>
    <w:div w:id="1769736387">
      <w:marLeft w:val="0"/>
      <w:marRight w:val="0"/>
      <w:marTop w:val="0"/>
      <w:marBottom w:val="0"/>
      <w:divBdr>
        <w:top w:val="none" w:sz="0" w:space="0" w:color="auto"/>
        <w:left w:val="none" w:sz="0" w:space="0" w:color="auto"/>
        <w:bottom w:val="none" w:sz="0" w:space="0" w:color="auto"/>
        <w:right w:val="none" w:sz="0" w:space="0" w:color="auto"/>
      </w:divBdr>
    </w:div>
    <w:div w:id="1769736388">
      <w:marLeft w:val="0"/>
      <w:marRight w:val="0"/>
      <w:marTop w:val="0"/>
      <w:marBottom w:val="0"/>
      <w:divBdr>
        <w:top w:val="none" w:sz="0" w:space="0" w:color="auto"/>
        <w:left w:val="none" w:sz="0" w:space="0" w:color="auto"/>
        <w:bottom w:val="none" w:sz="0" w:space="0" w:color="auto"/>
        <w:right w:val="none" w:sz="0" w:space="0" w:color="auto"/>
      </w:divBdr>
    </w:div>
    <w:div w:id="1769736389">
      <w:marLeft w:val="0"/>
      <w:marRight w:val="0"/>
      <w:marTop w:val="0"/>
      <w:marBottom w:val="0"/>
      <w:divBdr>
        <w:top w:val="none" w:sz="0" w:space="0" w:color="auto"/>
        <w:left w:val="none" w:sz="0" w:space="0" w:color="auto"/>
        <w:bottom w:val="none" w:sz="0" w:space="0" w:color="auto"/>
        <w:right w:val="none" w:sz="0" w:space="0" w:color="auto"/>
      </w:divBdr>
    </w:div>
    <w:div w:id="1769736390">
      <w:marLeft w:val="0"/>
      <w:marRight w:val="0"/>
      <w:marTop w:val="0"/>
      <w:marBottom w:val="0"/>
      <w:divBdr>
        <w:top w:val="none" w:sz="0" w:space="0" w:color="auto"/>
        <w:left w:val="none" w:sz="0" w:space="0" w:color="auto"/>
        <w:bottom w:val="none" w:sz="0" w:space="0" w:color="auto"/>
        <w:right w:val="none" w:sz="0" w:space="0" w:color="auto"/>
      </w:divBdr>
    </w:div>
    <w:div w:id="1769736391">
      <w:marLeft w:val="0"/>
      <w:marRight w:val="0"/>
      <w:marTop w:val="0"/>
      <w:marBottom w:val="0"/>
      <w:divBdr>
        <w:top w:val="none" w:sz="0" w:space="0" w:color="auto"/>
        <w:left w:val="none" w:sz="0" w:space="0" w:color="auto"/>
        <w:bottom w:val="none" w:sz="0" w:space="0" w:color="auto"/>
        <w:right w:val="none" w:sz="0" w:space="0" w:color="auto"/>
      </w:divBdr>
    </w:div>
    <w:div w:id="1774207682">
      <w:bodyDiv w:val="1"/>
      <w:marLeft w:val="0"/>
      <w:marRight w:val="0"/>
      <w:marTop w:val="0"/>
      <w:marBottom w:val="0"/>
      <w:divBdr>
        <w:top w:val="none" w:sz="0" w:space="0" w:color="auto"/>
        <w:left w:val="none" w:sz="0" w:space="0" w:color="auto"/>
        <w:bottom w:val="none" w:sz="0" w:space="0" w:color="auto"/>
        <w:right w:val="none" w:sz="0" w:space="0" w:color="auto"/>
      </w:divBdr>
    </w:div>
    <w:div w:id="1782021278">
      <w:bodyDiv w:val="1"/>
      <w:marLeft w:val="0"/>
      <w:marRight w:val="0"/>
      <w:marTop w:val="0"/>
      <w:marBottom w:val="0"/>
      <w:divBdr>
        <w:top w:val="none" w:sz="0" w:space="0" w:color="auto"/>
        <w:left w:val="none" w:sz="0" w:space="0" w:color="auto"/>
        <w:bottom w:val="none" w:sz="0" w:space="0" w:color="auto"/>
        <w:right w:val="none" w:sz="0" w:space="0" w:color="auto"/>
      </w:divBdr>
    </w:div>
    <w:div w:id="1785535421">
      <w:bodyDiv w:val="1"/>
      <w:marLeft w:val="0"/>
      <w:marRight w:val="0"/>
      <w:marTop w:val="0"/>
      <w:marBottom w:val="0"/>
      <w:divBdr>
        <w:top w:val="none" w:sz="0" w:space="0" w:color="auto"/>
        <w:left w:val="none" w:sz="0" w:space="0" w:color="auto"/>
        <w:bottom w:val="none" w:sz="0" w:space="0" w:color="auto"/>
        <w:right w:val="none" w:sz="0" w:space="0" w:color="auto"/>
      </w:divBdr>
    </w:div>
    <w:div w:id="1798908281">
      <w:bodyDiv w:val="1"/>
      <w:marLeft w:val="0"/>
      <w:marRight w:val="0"/>
      <w:marTop w:val="0"/>
      <w:marBottom w:val="0"/>
      <w:divBdr>
        <w:top w:val="none" w:sz="0" w:space="0" w:color="auto"/>
        <w:left w:val="none" w:sz="0" w:space="0" w:color="auto"/>
        <w:bottom w:val="none" w:sz="0" w:space="0" w:color="auto"/>
        <w:right w:val="none" w:sz="0" w:space="0" w:color="auto"/>
      </w:divBdr>
    </w:div>
    <w:div w:id="1854496480">
      <w:bodyDiv w:val="1"/>
      <w:marLeft w:val="0"/>
      <w:marRight w:val="0"/>
      <w:marTop w:val="0"/>
      <w:marBottom w:val="0"/>
      <w:divBdr>
        <w:top w:val="none" w:sz="0" w:space="0" w:color="auto"/>
        <w:left w:val="none" w:sz="0" w:space="0" w:color="auto"/>
        <w:bottom w:val="none" w:sz="0" w:space="0" w:color="auto"/>
        <w:right w:val="none" w:sz="0" w:space="0" w:color="auto"/>
      </w:divBdr>
    </w:div>
    <w:div w:id="1878617306">
      <w:bodyDiv w:val="1"/>
      <w:marLeft w:val="0"/>
      <w:marRight w:val="0"/>
      <w:marTop w:val="0"/>
      <w:marBottom w:val="0"/>
      <w:divBdr>
        <w:top w:val="none" w:sz="0" w:space="0" w:color="auto"/>
        <w:left w:val="none" w:sz="0" w:space="0" w:color="auto"/>
        <w:bottom w:val="none" w:sz="0" w:space="0" w:color="auto"/>
        <w:right w:val="none" w:sz="0" w:space="0" w:color="auto"/>
      </w:divBdr>
    </w:div>
    <w:div w:id="1890804236">
      <w:bodyDiv w:val="1"/>
      <w:marLeft w:val="0"/>
      <w:marRight w:val="0"/>
      <w:marTop w:val="0"/>
      <w:marBottom w:val="0"/>
      <w:divBdr>
        <w:top w:val="none" w:sz="0" w:space="0" w:color="auto"/>
        <w:left w:val="none" w:sz="0" w:space="0" w:color="auto"/>
        <w:bottom w:val="none" w:sz="0" w:space="0" w:color="auto"/>
        <w:right w:val="none" w:sz="0" w:space="0" w:color="auto"/>
      </w:divBdr>
    </w:div>
    <w:div w:id="1978604582">
      <w:bodyDiv w:val="1"/>
      <w:marLeft w:val="0"/>
      <w:marRight w:val="0"/>
      <w:marTop w:val="0"/>
      <w:marBottom w:val="0"/>
      <w:divBdr>
        <w:top w:val="none" w:sz="0" w:space="0" w:color="auto"/>
        <w:left w:val="none" w:sz="0" w:space="0" w:color="auto"/>
        <w:bottom w:val="none" w:sz="0" w:space="0" w:color="auto"/>
        <w:right w:val="none" w:sz="0" w:space="0" w:color="auto"/>
      </w:divBdr>
    </w:div>
    <w:div w:id="2013331800">
      <w:bodyDiv w:val="1"/>
      <w:marLeft w:val="0"/>
      <w:marRight w:val="0"/>
      <w:marTop w:val="0"/>
      <w:marBottom w:val="0"/>
      <w:divBdr>
        <w:top w:val="none" w:sz="0" w:space="0" w:color="auto"/>
        <w:left w:val="none" w:sz="0" w:space="0" w:color="auto"/>
        <w:bottom w:val="none" w:sz="0" w:space="0" w:color="auto"/>
        <w:right w:val="none" w:sz="0" w:space="0" w:color="auto"/>
      </w:divBdr>
    </w:div>
    <w:div w:id="2018918268">
      <w:bodyDiv w:val="1"/>
      <w:marLeft w:val="0"/>
      <w:marRight w:val="0"/>
      <w:marTop w:val="0"/>
      <w:marBottom w:val="0"/>
      <w:divBdr>
        <w:top w:val="none" w:sz="0" w:space="0" w:color="auto"/>
        <w:left w:val="none" w:sz="0" w:space="0" w:color="auto"/>
        <w:bottom w:val="none" w:sz="0" w:space="0" w:color="auto"/>
        <w:right w:val="none" w:sz="0" w:space="0" w:color="auto"/>
      </w:divBdr>
    </w:div>
    <w:div w:id="2028828438">
      <w:bodyDiv w:val="1"/>
      <w:marLeft w:val="0"/>
      <w:marRight w:val="0"/>
      <w:marTop w:val="0"/>
      <w:marBottom w:val="0"/>
      <w:divBdr>
        <w:top w:val="none" w:sz="0" w:space="0" w:color="auto"/>
        <w:left w:val="none" w:sz="0" w:space="0" w:color="auto"/>
        <w:bottom w:val="none" w:sz="0" w:space="0" w:color="auto"/>
        <w:right w:val="none" w:sz="0" w:space="0" w:color="auto"/>
      </w:divBdr>
    </w:div>
    <w:div w:id="2050372766">
      <w:bodyDiv w:val="1"/>
      <w:marLeft w:val="0"/>
      <w:marRight w:val="0"/>
      <w:marTop w:val="0"/>
      <w:marBottom w:val="0"/>
      <w:divBdr>
        <w:top w:val="none" w:sz="0" w:space="0" w:color="auto"/>
        <w:left w:val="none" w:sz="0" w:space="0" w:color="auto"/>
        <w:bottom w:val="none" w:sz="0" w:space="0" w:color="auto"/>
        <w:right w:val="none" w:sz="0" w:space="0" w:color="auto"/>
      </w:divBdr>
    </w:div>
    <w:div w:id="2054191585">
      <w:bodyDiv w:val="1"/>
      <w:marLeft w:val="0"/>
      <w:marRight w:val="0"/>
      <w:marTop w:val="0"/>
      <w:marBottom w:val="0"/>
      <w:divBdr>
        <w:top w:val="none" w:sz="0" w:space="0" w:color="auto"/>
        <w:left w:val="none" w:sz="0" w:space="0" w:color="auto"/>
        <w:bottom w:val="none" w:sz="0" w:space="0" w:color="auto"/>
        <w:right w:val="none" w:sz="0" w:space="0" w:color="auto"/>
      </w:divBdr>
    </w:div>
    <w:div w:id="2060741278">
      <w:bodyDiv w:val="1"/>
      <w:marLeft w:val="0"/>
      <w:marRight w:val="0"/>
      <w:marTop w:val="0"/>
      <w:marBottom w:val="0"/>
      <w:divBdr>
        <w:top w:val="none" w:sz="0" w:space="0" w:color="auto"/>
        <w:left w:val="none" w:sz="0" w:space="0" w:color="auto"/>
        <w:bottom w:val="none" w:sz="0" w:space="0" w:color="auto"/>
        <w:right w:val="none" w:sz="0" w:space="0" w:color="auto"/>
      </w:divBdr>
    </w:div>
    <w:div w:id="2067333564">
      <w:bodyDiv w:val="1"/>
      <w:marLeft w:val="0"/>
      <w:marRight w:val="0"/>
      <w:marTop w:val="0"/>
      <w:marBottom w:val="0"/>
      <w:divBdr>
        <w:top w:val="none" w:sz="0" w:space="0" w:color="auto"/>
        <w:left w:val="none" w:sz="0" w:space="0" w:color="auto"/>
        <w:bottom w:val="none" w:sz="0" w:space="0" w:color="auto"/>
        <w:right w:val="none" w:sz="0" w:space="0" w:color="auto"/>
      </w:divBdr>
    </w:div>
    <w:div w:id="2080327181">
      <w:bodyDiv w:val="1"/>
      <w:marLeft w:val="0"/>
      <w:marRight w:val="0"/>
      <w:marTop w:val="0"/>
      <w:marBottom w:val="0"/>
      <w:divBdr>
        <w:top w:val="none" w:sz="0" w:space="0" w:color="auto"/>
        <w:left w:val="none" w:sz="0" w:space="0" w:color="auto"/>
        <w:bottom w:val="none" w:sz="0" w:space="0" w:color="auto"/>
        <w:right w:val="none" w:sz="0" w:space="0" w:color="auto"/>
      </w:divBdr>
    </w:div>
    <w:div w:id="21460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ynek-ksiaz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243;&#378;wiak\Pulpit\Biblioteka%20Analiz.13\wykresy.6.08.13%20-%20Cz&#281;&#347;&#263;%20I.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E:\PIK.30.09.13\wykresy.6.09.13%20-%20Cz&#281;&#347;&#263;%20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J&#243;&#378;wiak\Pulpit\PIK.13\wykresy.6.09.13%20-%20pozosta&#322;e%20wykresy.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E:\PIK.30.09.13\wykresy.6.09.13%20-%20Cz&#281;&#347;&#263;%20I.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E:\PIK.30.09.13\wykresy.6.09.13%20-%20Cz&#281;&#347;&#263;%20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PIK.30.09.13\wykresy.6.09.13%20-%20Cz&#281;&#347;&#263;%20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PIK.30.09.13\wykresy.6.09.13%20-%20Cz&#281;&#347;&#263;%20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PIK.30.09.13\wykresy.6.09.13%20-%20Cz&#281;&#347;&#263;%20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PIK.30.09.13\wykresy.6.09.13%20-%20Cz&#281;&#347;&#263;%20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PIK.30.09.13\wykresy.6.09.13%20-%20Cz&#281;&#347;&#263;%20I.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J&#243;&#378;wiak\Pulpit\PIK.27.09.13\wykresy.6.09.13%20-%20Cz&#281;&#347;&#263;%20Ib.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J&#243;&#378;wiak\Pulpit\PIK.27.09.13\wykresy.6.09.13%20-%20Cz&#281;&#347;&#263;%20Ib.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J&#243;&#378;wiak\Pulpit\PIK.27.09.13\wykresy.6.09.13%20-%20Rynek%20wydawniczy.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Documents%20and%20Settings\J&#243;&#378;wiak\Pulpit\PIK.27.09.13\wykresy.6.09.13%20-%20Cz&#281;&#347;&#263;%20I.xlsx" TargetMode="External"/><Relationship Id="rId2" Type="http://schemas.openxmlformats.org/officeDocument/2006/relationships/image" Target="../media/image3.jpeg"/><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2.jpeg"/><Relationship Id="rId5" Type="http://schemas.openxmlformats.org/officeDocument/2006/relationships/chartUserShapes" Target="../drawings/drawing4.xml"/><Relationship Id="rId4" Type="http://schemas.openxmlformats.org/officeDocument/2006/relationships/oleObject" Target="file:///C:\Documents%20and%20Settings\J&#243;&#378;wiak\Pulpit\PIK.27.09.13\wykresy.6.09.13%20-%20Cz&#281;&#347;&#263;%20I.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PIK.30.09.13\wykresy.6.09.13%20-%20Cz&#281;&#347;&#263;%20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PIK.30.09.13\wykresy.6.09.13%20-%20Cz&#281;&#347;&#263;%20I.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PIK.30.09.13\wykresy.6.09.13%20-%20Cz&#281;&#347;&#263;%20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Internet!$B$8</c:f>
              <c:strCache>
                <c:ptCount val="1"/>
                <c:pt idx="0">
                  <c:v>poczta</c:v>
                </c:pt>
              </c:strCache>
            </c:strRef>
          </c:tx>
          <c:spPr>
            <a:ln w="22225">
              <a:prstDash val="lgDashDotDot"/>
            </a:ln>
          </c:spPr>
          <c:marker>
            <c:symbol val="none"/>
          </c:marker>
          <c:cat>
            <c:numRef>
              <c:f>Internet!$C$6:$J$6</c:f>
              <c:numCache>
                <c:formatCode>General</c:formatCode>
                <c:ptCount val="8"/>
                <c:pt idx="0">
                  <c:v>2005</c:v>
                </c:pt>
                <c:pt idx="1">
                  <c:v>2006</c:v>
                </c:pt>
                <c:pt idx="2">
                  <c:v>2007</c:v>
                </c:pt>
                <c:pt idx="3">
                  <c:v>2008</c:v>
                </c:pt>
                <c:pt idx="4">
                  <c:v>2009</c:v>
                </c:pt>
                <c:pt idx="5">
                  <c:v>2010</c:v>
                </c:pt>
                <c:pt idx="6">
                  <c:v>2011</c:v>
                </c:pt>
                <c:pt idx="7">
                  <c:v>2012</c:v>
                </c:pt>
              </c:numCache>
            </c:numRef>
          </c:cat>
          <c:val>
            <c:numRef>
              <c:f>Internet!$C$8:$J$8</c:f>
              <c:numCache>
                <c:formatCode>0%</c:formatCode>
                <c:ptCount val="8"/>
                <c:pt idx="0">
                  <c:v>0.24000000000000021</c:v>
                </c:pt>
                <c:pt idx="1">
                  <c:v>0.27</c:v>
                </c:pt>
                <c:pt idx="2">
                  <c:v>0.32000000000000406</c:v>
                </c:pt>
                <c:pt idx="3">
                  <c:v>0.38000000000000383</c:v>
                </c:pt>
                <c:pt idx="4">
                  <c:v>0.45</c:v>
                </c:pt>
                <c:pt idx="5">
                  <c:v>0.48000000000000032</c:v>
                </c:pt>
                <c:pt idx="6">
                  <c:v>0.5</c:v>
                </c:pt>
                <c:pt idx="7">
                  <c:v>0.51</c:v>
                </c:pt>
              </c:numCache>
            </c:numRef>
          </c:val>
          <c:smooth val="0"/>
        </c:ser>
        <c:ser>
          <c:idx val="2"/>
          <c:order val="1"/>
          <c:tx>
            <c:strRef>
              <c:f>Internet!$B$9</c:f>
              <c:strCache>
                <c:ptCount val="1"/>
                <c:pt idx="0">
                  <c:v>informacja</c:v>
                </c:pt>
              </c:strCache>
            </c:strRef>
          </c:tx>
          <c:spPr>
            <a:ln>
              <a:prstDash val="sysDot"/>
            </a:ln>
          </c:spPr>
          <c:marker>
            <c:symbol val="none"/>
          </c:marker>
          <c:cat>
            <c:numRef>
              <c:f>Internet!$C$6:$J$6</c:f>
              <c:numCache>
                <c:formatCode>General</c:formatCode>
                <c:ptCount val="8"/>
                <c:pt idx="0">
                  <c:v>2005</c:v>
                </c:pt>
                <c:pt idx="1">
                  <c:v>2006</c:v>
                </c:pt>
                <c:pt idx="2">
                  <c:v>2007</c:v>
                </c:pt>
                <c:pt idx="3">
                  <c:v>2008</c:v>
                </c:pt>
                <c:pt idx="4">
                  <c:v>2009</c:v>
                </c:pt>
                <c:pt idx="5">
                  <c:v>2010</c:v>
                </c:pt>
                <c:pt idx="6">
                  <c:v>2011</c:v>
                </c:pt>
                <c:pt idx="7">
                  <c:v>2012</c:v>
                </c:pt>
              </c:numCache>
            </c:numRef>
          </c:cat>
          <c:val>
            <c:numRef>
              <c:f>Internet!$C$9:$J$9</c:f>
              <c:numCache>
                <c:formatCode>0%</c:formatCode>
                <c:ptCount val="8"/>
                <c:pt idx="0">
                  <c:v>0.18000000000000024</c:v>
                </c:pt>
                <c:pt idx="1">
                  <c:v>0.25</c:v>
                </c:pt>
                <c:pt idx="2">
                  <c:v>0.27</c:v>
                </c:pt>
                <c:pt idx="3">
                  <c:v>0.33000000000000435</c:v>
                </c:pt>
                <c:pt idx="4">
                  <c:v>0.29000000000000031</c:v>
                </c:pt>
                <c:pt idx="5">
                  <c:v>0.39000000000000407</c:v>
                </c:pt>
                <c:pt idx="6">
                  <c:v>0.44000000000000139</c:v>
                </c:pt>
                <c:pt idx="7">
                  <c:v>0.48000000000000032</c:v>
                </c:pt>
              </c:numCache>
            </c:numRef>
          </c:val>
          <c:smooth val="0"/>
        </c:ser>
        <c:ser>
          <c:idx val="4"/>
          <c:order val="2"/>
          <c:tx>
            <c:strRef>
              <c:f>Internet!$B$10</c:f>
              <c:strCache>
                <c:ptCount val="1"/>
                <c:pt idx="0">
                  <c:v>czytanie on-line</c:v>
                </c:pt>
              </c:strCache>
            </c:strRef>
          </c:tx>
          <c:spPr>
            <a:ln w="44450">
              <a:prstDash val="solid"/>
            </a:ln>
            <a:effectLst>
              <a:innerShdw blurRad="63500" dist="50800" dir="13500000">
                <a:prstClr val="black">
                  <a:alpha val="50000"/>
                </a:prstClr>
              </a:innerShdw>
            </a:effectLst>
          </c:spPr>
          <c:marker>
            <c:symbol val="none"/>
          </c:marker>
          <c:cat>
            <c:numRef>
              <c:f>Internet!$C$6:$J$6</c:f>
              <c:numCache>
                <c:formatCode>General</c:formatCode>
                <c:ptCount val="8"/>
                <c:pt idx="0">
                  <c:v>2005</c:v>
                </c:pt>
                <c:pt idx="1">
                  <c:v>2006</c:v>
                </c:pt>
                <c:pt idx="2">
                  <c:v>2007</c:v>
                </c:pt>
                <c:pt idx="3">
                  <c:v>2008</c:v>
                </c:pt>
                <c:pt idx="4">
                  <c:v>2009</c:v>
                </c:pt>
                <c:pt idx="5">
                  <c:v>2010</c:v>
                </c:pt>
                <c:pt idx="6">
                  <c:v>2011</c:v>
                </c:pt>
                <c:pt idx="7">
                  <c:v>2012</c:v>
                </c:pt>
              </c:numCache>
            </c:numRef>
          </c:cat>
          <c:val>
            <c:numRef>
              <c:f>Internet!$C$10:$J$10</c:f>
              <c:numCache>
                <c:formatCode>0%</c:formatCode>
                <c:ptCount val="8"/>
                <c:pt idx="0">
                  <c:v>0.13</c:v>
                </c:pt>
                <c:pt idx="1">
                  <c:v>0.16000000000000075</c:v>
                </c:pt>
                <c:pt idx="2">
                  <c:v>0.15000000000000024</c:v>
                </c:pt>
                <c:pt idx="3">
                  <c:v>0.19000000000000075</c:v>
                </c:pt>
                <c:pt idx="4">
                  <c:v>0.18000000000000024</c:v>
                </c:pt>
                <c:pt idx="5">
                  <c:v>0.17</c:v>
                </c:pt>
                <c:pt idx="6">
                  <c:v>0.18000000000000024</c:v>
                </c:pt>
                <c:pt idx="7">
                  <c:v>0.30000000000000032</c:v>
                </c:pt>
              </c:numCache>
            </c:numRef>
          </c:val>
          <c:smooth val="0"/>
        </c:ser>
        <c:dLbls>
          <c:showLegendKey val="0"/>
          <c:showVal val="0"/>
          <c:showCatName val="0"/>
          <c:showSerName val="0"/>
          <c:showPercent val="0"/>
          <c:showBubbleSize val="0"/>
        </c:dLbls>
        <c:marker val="1"/>
        <c:smooth val="0"/>
        <c:axId val="141541376"/>
        <c:axId val="141542912"/>
      </c:lineChart>
      <c:catAx>
        <c:axId val="141541376"/>
        <c:scaling>
          <c:orientation val="minMax"/>
        </c:scaling>
        <c:delete val="0"/>
        <c:axPos val="b"/>
        <c:numFmt formatCode="General" sourceLinked="1"/>
        <c:majorTickMark val="none"/>
        <c:minorTickMark val="none"/>
        <c:tickLblPos val="nextTo"/>
        <c:crossAx val="141542912"/>
        <c:crosses val="autoZero"/>
        <c:auto val="1"/>
        <c:lblAlgn val="ctr"/>
        <c:lblOffset val="100"/>
        <c:noMultiLvlLbl val="0"/>
      </c:catAx>
      <c:valAx>
        <c:axId val="141542912"/>
        <c:scaling>
          <c:orientation val="minMax"/>
        </c:scaling>
        <c:delete val="0"/>
        <c:axPos val="l"/>
        <c:majorGridlines/>
        <c:numFmt formatCode="0%" sourceLinked="1"/>
        <c:majorTickMark val="none"/>
        <c:minorTickMark val="none"/>
        <c:tickLblPos val="nextTo"/>
        <c:crossAx val="14154137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94261155586679"/>
          <c:y val="5.1400554097404488E-2"/>
          <c:w val="0.69877970174885384"/>
          <c:h val="0.7211245990084576"/>
        </c:manualLayout>
      </c:layout>
      <c:barChart>
        <c:barDir val="col"/>
        <c:grouping val="clustered"/>
        <c:varyColors val="0"/>
        <c:ser>
          <c:idx val="3"/>
          <c:order val="1"/>
          <c:tx>
            <c:strRef>
              <c:f>Zatrudnienie!$A$91</c:f>
              <c:strCache>
                <c:ptCount val="1"/>
                <c:pt idx="0">
                  <c:v>Sprzedaż w mln zł</c:v>
                </c:pt>
              </c:strCache>
            </c:strRef>
          </c:tx>
          <c:invertIfNegative val="0"/>
          <c:cat>
            <c:numRef>
              <c:f>Zatrudnienie!$B$88:$L$88</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Zatrudnienie!$B$91:$L$91</c:f>
              <c:numCache>
                <c:formatCode>#,##0</c:formatCode>
                <c:ptCount val="11"/>
                <c:pt idx="0">
                  <c:v>2080</c:v>
                </c:pt>
                <c:pt idx="1">
                  <c:v>2090</c:v>
                </c:pt>
                <c:pt idx="2">
                  <c:v>2210</c:v>
                </c:pt>
                <c:pt idx="3">
                  <c:v>2460</c:v>
                </c:pt>
                <c:pt idx="4">
                  <c:v>2380</c:v>
                </c:pt>
                <c:pt idx="5">
                  <c:v>2600</c:v>
                </c:pt>
                <c:pt idx="6">
                  <c:v>2910</c:v>
                </c:pt>
                <c:pt idx="7">
                  <c:v>2860</c:v>
                </c:pt>
                <c:pt idx="8">
                  <c:v>2940</c:v>
                </c:pt>
                <c:pt idx="9">
                  <c:v>2710</c:v>
                </c:pt>
                <c:pt idx="10">
                  <c:v>2670</c:v>
                </c:pt>
              </c:numCache>
            </c:numRef>
          </c:val>
        </c:ser>
        <c:dLbls>
          <c:showLegendKey val="0"/>
          <c:showVal val="0"/>
          <c:showCatName val="0"/>
          <c:showSerName val="0"/>
          <c:showPercent val="0"/>
          <c:showBubbleSize val="0"/>
        </c:dLbls>
        <c:gapWidth val="150"/>
        <c:axId val="141902976"/>
        <c:axId val="141904512"/>
      </c:barChart>
      <c:lineChart>
        <c:grouping val="standard"/>
        <c:varyColors val="0"/>
        <c:ser>
          <c:idx val="2"/>
          <c:order val="0"/>
          <c:tx>
            <c:strRef>
              <c:f>Zatrudnienie!$A$90</c:f>
              <c:strCache>
                <c:ptCount val="1"/>
                <c:pt idx="0">
                  <c:v>Zatrudnienie</c:v>
                </c:pt>
              </c:strCache>
            </c:strRef>
          </c:tx>
          <c:marker>
            <c:symbol val="none"/>
          </c:marker>
          <c:cat>
            <c:numRef>
              <c:f>Zatrudnienie!$B$88:$L$88</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Zatrudnienie!$B$90:$L$90</c:f>
              <c:numCache>
                <c:formatCode>#,##0</c:formatCode>
                <c:ptCount val="11"/>
                <c:pt idx="0">
                  <c:v>5970</c:v>
                </c:pt>
                <c:pt idx="1">
                  <c:v>5910</c:v>
                </c:pt>
                <c:pt idx="2">
                  <c:v>6040</c:v>
                </c:pt>
                <c:pt idx="3">
                  <c:v>6140</c:v>
                </c:pt>
                <c:pt idx="4">
                  <c:v>5770</c:v>
                </c:pt>
                <c:pt idx="5">
                  <c:v>5790</c:v>
                </c:pt>
                <c:pt idx="6">
                  <c:v>5920</c:v>
                </c:pt>
                <c:pt idx="7">
                  <c:v>5880</c:v>
                </c:pt>
                <c:pt idx="8">
                  <c:v>6230</c:v>
                </c:pt>
                <c:pt idx="9">
                  <c:v>5960</c:v>
                </c:pt>
                <c:pt idx="10">
                  <c:v>5680</c:v>
                </c:pt>
              </c:numCache>
            </c:numRef>
          </c:val>
          <c:smooth val="0"/>
        </c:ser>
        <c:dLbls>
          <c:showLegendKey val="0"/>
          <c:showVal val="0"/>
          <c:showCatName val="0"/>
          <c:showSerName val="0"/>
          <c:showPercent val="0"/>
          <c:showBubbleSize val="0"/>
        </c:dLbls>
        <c:marker val="1"/>
        <c:smooth val="0"/>
        <c:axId val="141911936"/>
        <c:axId val="141910400"/>
      </c:lineChart>
      <c:catAx>
        <c:axId val="141902976"/>
        <c:scaling>
          <c:orientation val="minMax"/>
        </c:scaling>
        <c:delete val="0"/>
        <c:axPos val="b"/>
        <c:numFmt formatCode="General" sourceLinked="1"/>
        <c:majorTickMark val="out"/>
        <c:minorTickMark val="none"/>
        <c:tickLblPos val="nextTo"/>
        <c:crossAx val="141904512"/>
        <c:crosses val="autoZero"/>
        <c:auto val="1"/>
        <c:lblAlgn val="ctr"/>
        <c:lblOffset val="100"/>
        <c:noMultiLvlLbl val="0"/>
      </c:catAx>
      <c:valAx>
        <c:axId val="141904512"/>
        <c:scaling>
          <c:orientation val="minMax"/>
          <c:min val="1500"/>
        </c:scaling>
        <c:delete val="0"/>
        <c:axPos val="l"/>
        <c:majorGridlines/>
        <c:numFmt formatCode="#,##0" sourceLinked="1"/>
        <c:majorTickMark val="out"/>
        <c:minorTickMark val="none"/>
        <c:tickLblPos val="nextTo"/>
        <c:crossAx val="141902976"/>
        <c:crosses val="autoZero"/>
        <c:crossBetween val="between"/>
      </c:valAx>
      <c:valAx>
        <c:axId val="141910400"/>
        <c:scaling>
          <c:orientation val="minMax"/>
        </c:scaling>
        <c:delete val="0"/>
        <c:axPos val="r"/>
        <c:numFmt formatCode="#,##0" sourceLinked="1"/>
        <c:majorTickMark val="out"/>
        <c:minorTickMark val="none"/>
        <c:tickLblPos val="nextTo"/>
        <c:crossAx val="141911936"/>
        <c:crosses val="max"/>
        <c:crossBetween val="between"/>
      </c:valAx>
      <c:catAx>
        <c:axId val="141911936"/>
        <c:scaling>
          <c:orientation val="minMax"/>
        </c:scaling>
        <c:delete val="1"/>
        <c:axPos val="b"/>
        <c:numFmt formatCode="General" sourceLinked="1"/>
        <c:majorTickMark val="out"/>
        <c:minorTickMark val="none"/>
        <c:tickLblPos val="none"/>
        <c:crossAx val="141910400"/>
        <c:crosses val="autoZero"/>
        <c:auto val="1"/>
        <c:lblAlgn val="ctr"/>
        <c:lblOffset val="100"/>
        <c:noMultiLvlLbl val="0"/>
      </c:catAx>
    </c:plotArea>
    <c:legend>
      <c:legendPos val="b"/>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'Zatrudnienie całkowite'!$B$23</c:f>
              <c:strCache>
                <c:ptCount val="1"/>
                <c:pt idx="0">
                  <c:v>papiernie i dystrybucja papieru</c:v>
                </c:pt>
              </c:strCache>
            </c:strRef>
          </c:tx>
          <c:invertIfNegative val="0"/>
          <c:cat>
            <c:numRef>
              <c:f>'Zatrudnienie całkowite'!$C$22:$H$22</c:f>
              <c:numCache>
                <c:formatCode>General</c:formatCode>
                <c:ptCount val="6"/>
                <c:pt idx="0">
                  <c:v>2007</c:v>
                </c:pt>
                <c:pt idx="1">
                  <c:v>2008</c:v>
                </c:pt>
                <c:pt idx="2">
                  <c:v>2009</c:v>
                </c:pt>
                <c:pt idx="3">
                  <c:v>2010</c:v>
                </c:pt>
                <c:pt idx="4">
                  <c:v>2011</c:v>
                </c:pt>
                <c:pt idx="5">
                  <c:v>2012</c:v>
                </c:pt>
              </c:numCache>
            </c:numRef>
          </c:cat>
          <c:val>
            <c:numRef>
              <c:f>'Zatrudnienie całkowite'!$C$23:$H$23</c:f>
              <c:numCache>
                <c:formatCode>0</c:formatCode>
                <c:ptCount val="6"/>
                <c:pt idx="0">
                  <c:v>10918.876464323745</c:v>
                </c:pt>
                <c:pt idx="1">
                  <c:v>12141.402107743665</c:v>
                </c:pt>
                <c:pt idx="2">
                  <c:v>13948.843053435117</c:v>
                </c:pt>
                <c:pt idx="3">
                  <c:v>11517.736155910334</c:v>
                </c:pt>
                <c:pt idx="4">
                  <c:v>11419.866332942798</c:v>
                </c:pt>
                <c:pt idx="5">
                  <c:v>11632.652254152397</c:v>
                </c:pt>
              </c:numCache>
            </c:numRef>
          </c:val>
        </c:ser>
        <c:ser>
          <c:idx val="2"/>
          <c:order val="1"/>
          <c:tx>
            <c:strRef>
              <c:f>'Zatrudnienie całkowite'!$B$24</c:f>
              <c:strCache>
                <c:ptCount val="1"/>
                <c:pt idx="0">
                  <c:v>drukarnie dziełowa i cyfrowe</c:v>
                </c:pt>
              </c:strCache>
            </c:strRef>
          </c:tx>
          <c:invertIfNegative val="0"/>
          <c:cat>
            <c:numRef>
              <c:f>'Zatrudnienie całkowite'!$C$22:$H$22</c:f>
              <c:numCache>
                <c:formatCode>General</c:formatCode>
                <c:ptCount val="6"/>
                <c:pt idx="0">
                  <c:v>2007</c:v>
                </c:pt>
                <c:pt idx="1">
                  <c:v>2008</c:v>
                </c:pt>
                <c:pt idx="2">
                  <c:v>2009</c:v>
                </c:pt>
                <c:pt idx="3">
                  <c:v>2010</c:v>
                </c:pt>
                <c:pt idx="4">
                  <c:v>2011</c:v>
                </c:pt>
                <c:pt idx="5">
                  <c:v>2012</c:v>
                </c:pt>
              </c:numCache>
            </c:numRef>
          </c:cat>
          <c:val>
            <c:numRef>
              <c:f>'Zatrudnienie całkowite'!$C$24:$H$24</c:f>
              <c:numCache>
                <c:formatCode>0</c:formatCode>
                <c:ptCount val="6"/>
                <c:pt idx="0">
                  <c:v>12243</c:v>
                </c:pt>
                <c:pt idx="1">
                  <c:v>11819.51999999999</c:v>
                </c:pt>
                <c:pt idx="2">
                  <c:v>11207.900000000001</c:v>
                </c:pt>
                <c:pt idx="3">
                  <c:v>11211.2</c:v>
                </c:pt>
                <c:pt idx="4">
                  <c:v>11586.960000000001</c:v>
                </c:pt>
                <c:pt idx="5">
                  <c:v>11293</c:v>
                </c:pt>
              </c:numCache>
            </c:numRef>
          </c:val>
        </c:ser>
        <c:ser>
          <c:idx val="3"/>
          <c:order val="2"/>
          <c:tx>
            <c:strRef>
              <c:f>'Zatrudnienie całkowite'!$B$25</c:f>
              <c:strCache>
                <c:ptCount val="1"/>
                <c:pt idx="0">
                  <c:v>wydawnictwa</c:v>
                </c:pt>
              </c:strCache>
            </c:strRef>
          </c:tx>
          <c:invertIfNegative val="0"/>
          <c:cat>
            <c:numRef>
              <c:f>'Zatrudnienie całkowite'!$C$22:$H$22</c:f>
              <c:numCache>
                <c:formatCode>General</c:formatCode>
                <c:ptCount val="6"/>
                <c:pt idx="0">
                  <c:v>2007</c:v>
                </c:pt>
                <c:pt idx="1">
                  <c:v>2008</c:v>
                </c:pt>
                <c:pt idx="2">
                  <c:v>2009</c:v>
                </c:pt>
                <c:pt idx="3">
                  <c:v>2010</c:v>
                </c:pt>
                <c:pt idx="4">
                  <c:v>2011</c:v>
                </c:pt>
                <c:pt idx="5">
                  <c:v>2012</c:v>
                </c:pt>
              </c:numCache>
            </c:numRef>
          </c:cat>
          <c:val>
            <c:numRef>
              <c:f>'Zatrudnienie całkowite'!$C$25:$H$25</c:f>
              <c:numCache>
                <c:formatCode>0</c:formatCode>
                <c:ptCount val="6"/>
                <c:pt idx="0">
                  <c:v>7816.5</c:v>
                </c:pt>
                <c:pt idx="1">
                  <c:v>7992</c:v>
                </c:pt>
                <c:pt idx="2">
                  <c:v>8232</c:v>
                </c:pt>
                <c:pt idx="3">
                  <c:v>8722</c:v>
                </c:pt>
                <c:pt idx="4">
                  <c:v>8940</c:v>
                </c:pt>
                <c:pt idx="5">
                  <c:v>8520</c:v>
                </c:pt>
              </c:numCache>
            </c:numRef>
          </c:val>
        </c:ser>
        <c:ser>
          <c:idx val="4"/>
          <c:order val="3"/>
          <c:tx>
            <c:strRef>
              <c:f>'Zatrudnienie całkowite'!$B$26</c:f>
              <c:strCache>
                <c:ptCount val="1"/>
                <c:pt idx="0">
                  <c:v>hurtownie, księgarnie, inna dystrybucja</c:v>
                </c:pt>
              </c:strCache>
            </c:strRef>
          </c:tx>
          <c:invertIfNegative val="0"/>
          <c:cat>
            <c:numRef>
              <c:f>'Zatrudnienie całkowite'!$C$22:$H$22</c:f>
              <c:numCache>
                <c:formatCode>General</c:formatCode>
                <c:ptCount val="6"/>
                <c:pt idx="0">
                  <c:v>2007</c:v>
                </c:pt>
                <c:pt idx="1">
                  <c:v>2008</c:v>
                </c:pt>
                <c:pt idx="2">
                  <c:v>2009</c:v>
                </c:pt>
                <c:pt idx="3">
                  <c:v>2010</c:v>
                </c:pt>
                <c:pt idx="4">
                  <c:v>2011</c:v>
                </c:pt>
                <c:pt idx="5">
                  <c:v>2012</c:v>
                </c:pt>
              </c:numCache>
            </c:numRef>
          </c:cat>
          <c:val>
            <c:numRef>
              <c:f>'Zatrudnienie całkowite'!$C$26:$H$26</c:f>
              <c:numCache>
                <c:formatCode>0</c:formatCode>
                <c:ptCount val="6"/>
                <c:pt idx="0">
                  <c:v>10374</c:v>
                </c:pt>
                <c:pt idx="1">
                  <c:v>10676.5</c:v>
                </c:pt>
                <c:pt idx="2">
                  <c:v>10586.4</c:v>
                </c:pt>
                <c:pt idx="3">
                  <c:v>10520.300000000001</c:v>
                </c:pt>
                <c:pt idx="4">
                  <c:v>10304.6</c:v>
                </c:pt>
                <c:pt idx="5">
                  <c:v>9909</c:v>
                </c:pt>
              </c:numCache>
            </c:numRef>
          </c:val>
        </c:ser>
        <c:ser>
          <c:idx val="5"/>
          <c:order val="4"/>
          <c:tx>
            <c:strRef>
              <c:f>'Zatrudnienie całkowite'!$B$27</c:f>
              <c:strCache>
                <c:ptCount val="1"/>
                <c:pt idx="0">
                  <c:v>biblioteki publiczne, szkolne, inne</c:v>
                </c:pt>
              </c:strCache>
            </c:strRef>
          </c:tx>
          <c:invertIfNegative val="0"/>
          <c:cat>
            <c:numRef>
              <c:f>'Zatrudnienie całkowite'!$C$22:$H$22</c:f>
              <c:numCache>
                <c:formatCode>General</c:formatCode>
                <c:ptCount val="6"/>
                <c:pt idx="0">
                  <c:v>2007</c:v>
                </c:pt>
                <c:pt idx="1">
                  <c:v>2008</c:v>
                </c:pt>
                <c:pt idx="2">
                  <c:v>2009</c:v>
                </c:pt>
                <c:pt idx="3">
                  <c:v>2010</c:v>
                </c:pt>
                <c:pt idx="4">
                  <c:v>2011</c:v>
                </c:pt>
                <c:pt idx="5">
                  <c:v>2012</c:v>
                </c:pt>
              </c:numCache>
            </c:numRef>
          </c:cat>
          <c:val>
            <c:numRef>
              <c:f>'Zatrudnienie całkowite'!$C$27:$H$27</c:f>
              <c:numCache>
                <c:formatCode>0</c:formatCode>
                <c:ptCount val="6"/>
                <c:pt idx="0">
                  <c:v>37249.642751326894</c:v>
                </c:pt>
                <c:pt idx="1">
                  <c:v>36995.933567473148</c:v>
                </c:pt>
                <c:pt idx="2">
                  <c:v>37016.082808253013</c:v>
                </c:pt>
                <c:pt idx="3">
                  <c:v>36199.962500000001</c:v>
                </c:pt>
                <c:pt idx="4">
                  <c:v>35732.133603682574</c:v>
                </c:pt>
                <c:pt idx="5">
                  <c:v>35287.194761069637</c:v>
                </c:pt>
              </c:numCache>
            </c:numRef>
          </c:val>
        </c:ser>
        <c:dLbls>
          <c:showLegendKey val="0"/>
          <c:showVal val="0"/>
          <c:showCatName val="0"/>
          <c:showSerName val="0"/>
          <c:showPercent val="0"/>
          <c:showBubbleSize val="0"/>
        </c:dLbls>
        <c:gapWidth val="150"/>
        <c:axId val="141949568"/>
        <c:axId val="141963648"/>
      </c:barChart>
      <c:lineChart>
        <c:grouping val="standard"/>
        <c:varyColors val="0"/>
        <c:ser>
          <c:idx val="6"/>
          <c:order val="5"/>
          <c:tx>
            <c:strRef>
              <c:f>'Zatrudnienie całkowite'!$B$28</c:f>
              <c:strCache>
                <c:ptCount val="1"/>
                <c:pt idx="0">
                  <c:v>Łącznie</c:v>
                </c:pt>
              </c:strCache>
            </c:strRef>
          </c:tx>
          <c:marker>
            <c:symbol val="none"/>
          </c:marker>
          <c:cat>
            <c:numRef>
              <c:f>'Zatrudnienie całkowite'!$C$22:$H$22</c:f>
              <c:numCache>
                <c:formatCode>General</c:formatCode>
                <c:ptCount val="6"/>
                <c:pt idx="0">
                  <c:v>2007</c:v>
                </c:pt>
                <c:pt idx="1">
                  <c:v>2008</c:v>
                </c:pt>
                <c:pt idx="2">
                  <c:v>2009</c:v>
                </c:pt>
                <c:pt idx="3">
                  <c:v>2010</c:v>
                </c:pt>
                <c:pt idx="4">
                  <c:v>2011</c:v>
                </c:pt>
                <c:pt idx="5">
                  <c:v>2012</c:v>
                </c:pt>
              </c:numCache>
            </c:numRef>
          </c:cat>
          <c:val>
            <c:numRef>
              <c:f>'Zatrudnienie całkowite'!$C$28:$H$28</c:f>
              <c:numCache>
                <c:formatCode>0</c:formatCode>
                <c:ptCount val="6"/>
                <c:pt idx="0">
                  <c:v>78602.019215650609</c:v>
                </c:pt>
                <c:pt idx="1">
                  <c:v>79625.355675216808</c:v>
                </c:pt>
                <c:pt idx="2">
                  <c:v>80991.225861688086</c:v>
                </c:pt>
                <c:pt idx="3">
                  <c:v>78171.198655910353</c:v>
                </c:pt>
                <c:pt idx="4">
                  <c:v>77983.559936625403</c:v>
                </c:pt>
                <c:pt idx="5">
                  <c:v>76641.847015221982</c:v>
                </c:pt>
              </c:numCache>
            </c:numRef>
          </c:val>
          <c:smooth val="0"/>
        </c:ser>
        <c:dLbls>
          <c:showLegendKey val="0"/>
          <c:showVal val="0"/>
          <c:showCatName val="0"/>
          <c:showSerName val="0"/>
          <c:showPercent val="0"/>
          <c:showBubbleSize val="0"/>
        </c:dLbls>
        <c:marker val="1"/>
        <c:smooth val="0"/>
        <c:axId val="141949568"/>
        <c:axId val="141963648"/>
      </c:lineChart>
      <c:catAx>
        <c:axId val="141949568"/>
        <c:scaling>
          <c:orientation val="minMax"/>
        </c:scaling>
        <c:delete val="0"/>
        <c:axPos val="b"/>
        <c:numFmt formatCode="General" sourceLinked="1"/>
        <c:majorTickMark val="out"/>
        <c:minorTickMark val="none"/>
        <c:tickLblPos val="nextTo"/>
        <c:crossAx val="141963648"/>
        <c:crosses val="autoZero"/>
        <c:auto val="1"/>
        <c:lblAlgn val="ctr"/>
        <c:lblOffset val="100"/>
        <c:noMultiLvlLbl val="0"/>
      </c:catAx>
      <c:valAx>
        <c:axId val="141963648"/>
        <c:scaling>
          <c:orientation val="minMax"/>
        </c:scaling>
        <c:delete val="0"/>
        <c:axPos val="l"/>
        <c:majorGridlines/>
        <c:numFmt formatCode="0" sourceLinked="1"/>
        <c:majorTickMark val="out"/>
        <c:minorTickMark val="none"/>
        <c:tickLblPos val="nextTo"/>
        <c:crossAx val="141949568"/>
        <c:crosses val="autoZero"/>
        <c:crossBetween val="between"/>
      </c:valAx>
    </c:plotArea>
    <c:legend>
      <c:legendPos val="b"/>
      <c:layout>
        <c:manualLayout>
          <c:xMode val="edge"/>
          <c:yMode val="edge"/>
          <c:x val="7.8774251156749867E-2"/>
          <c:y val="0.7696127836961556"/>
          <c:w val="0.9043071677895933"/>
          <c:h val="0.18802526802793745"/>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77486659196868"/>
          <c:y val="4.7599226945506973E-2"/>
          <c:w val="0.68298391246713364"/>
          <c:h val="0.67738815606248981"/>
        </c:manualLayout>
      </c:layout>
      <c:barChart>
        <c:barDir val="col"/>
        <c:grouping val="clustered"/>
        <c:varyColors val="0"/>
        <c:ser>
          <c:idx val="3"/>
          <c:order val="1"/>
          <c:tx>
            <c:strRef>
              <c:f>Sprzedaż!$B$8</c:f>
              <c:strCache>
                <c:ptCount val="1"/>
                <c:pt idx="0">
                  <c:v>Sprzedaż w mln zł</c:v>
                </c:pt>
              </c:strCache>
            </c:strRef>
          </c:tx>
          <c:invertIfNegative val="0"/>
          <c:trendline>
            <c:trendlineType val="linear"/>
            <c:dispRSqr val="0"/>
            <c:dispEq val="0"/>
          </c:trendline>
          <c:cat>
            <c:numRef>
              <c:f>Sprzedaż!$C$5:$M$5</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Sprzedaż!$C$8:$M$8</c:f>
              <c:numCache>
                <c:formatCode>#,##0</c:formatCode>
                <c:ptCount val="11"/>
                <c:pt idx="0">
                  <c:v>2080</c:v>
                </c:pt>
                <c:pt idx="1">
                  <c:v>2090</c:v>
                </c:pt>
                <c:pt idx="2">
                  <c:v>2210</c:v>
                </c:pt>
                <c:pt idx="3">
                  <c:v>2460</c:v>
                </c:pt>
                <c:pt idx="4">
                  <c:v>2380</c:v>
                </c:pt>
                <c:pt idx="5">
                  <c:v>2600</c:v>
                </c:pt>
                <c:pt idx="6">
                  <c:v>2910</c:v>
                </c:pt>
                <c:pt idx="7">
                  <c:v>2860</c:v>
                </c:pt>
                <c:pt idx="8">
                  <c:v>2940</c:v>
                </c:pt>
                <c:pt idx="9">
                  <c:v>2710</c:v>
                </c:pt>
                <c:pt idx="10">
                  <c:v>2670</c:v>
                </c:pt>
              </c:numCache>
            </c:numRef>
          </c:val>
        </c:ser>
        <c:dLbls>
          <c:showLegendKey val="0"/>
          <c:showVal val="0"/>
          <c:showCatName val="0"/>
          <c:showSerName val="0"/>
          <c:showPercent val="0"/>
          <c:showBubbleSize val="0"/>
        </c:dLbls>
        <c:gapWidth val="150"/>
        <c:axId val="142000896"/>
        <c:axId val="141982720"/>
      </c:barChart>
      <c:lineChart>
        <c:grouping val="standard"/>
        <c:varyColors val="0"/>
        <c:ser>
          <c:idx val="2"/>
          <c:order val="0"/>
          <c:tx>
            <c:strRef>
              <c:f>Sprzedaż!$B$7</c:f>
              <c:strCache>
                <c:ptCount val="1"/>
                <c:pt idx="0">
                  <c:v>Produkcja w mln egz.</c:v>
                </c:pt>
              </c:strCache>
            </c:strRef>
          </c:tx>
          <c:spPr>
            <a:ln w="38100"/>
          </c:spPr>
          <c:marker>
            <c:symbol val="none"/>
          </c:marker>
          <c:trendline>
            <c:trendlineType val="linear"/>
            <c:dispRSqr val="0"/>
            <c:dispEq val="0"/>
          </c:trendline>
          <c:cat>
            <c:numRef>
              <c:f>Sprzedaż!$C$5:$M$5</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Sprzedaż!$C$7:$M$7</c:f>
              <c:numCache>
                <c:formatCode>#,##0.0</c:formatCode>
                <c:ptCount val="11"/>
                <c:pt idx="0">
                  <c:v>141.6</c:v>
                </c:pt>
                <c:pt idx="1">
                  <c:v>133.6</c:v>
                </c:pt>
                <c:pt idx="2">
                  <c:v>138.5</c:v>
                </c:pt>
                <c:pt idx="3">
                  <c:v>141.5</c:v>
                </c:pt>
                <c:pt idx="4">
                  <c:v>133.6</c:v>
                </c:pt>
                <c:pt idx="5">
                  <c:v>146.4</c:v>
                </c:pt>
                <c:pt idx="6">
                  <c:v>145.69999999999999</c:v>
                </c:pt>
                <c:pt idx="7">
                  <c:v>144.4</c:v>
                </c:pt>
                <c:pt idx="8">
                  <c:v>139.19999999999999</c:v>
                </c:pt>
                <c:pt idx="9">
                  <c:v>122.4</c:v>
                </c:pt>
                <c:pt idx="10">
                  <c:v>107.9</c:v>
                </c:pt>
              </c:numCache>
            </c:numRef>
          </c:val>
          <c:smooth val="0"/>
        </c:ser>
        <c:dLbls>
          <c:showLegendKey val="0"/>
          <c:showVal val="0"/>
          <c:showCatName val="0"/>
          <c:showSerName val="0"/>
          <c:showPercent val="0"/>
          <c:showBubbleSize val="0"/>
        </c:dLbls>
        <c:marker val="1"/>
        <c:smooth val="0"/>
        <c:axId val="141979648"/>
        <c:axId val="141981184"/>
      </c:lineChart>
      <c:catAx>
        <c:axId val="141979648"/>
        <c:scaling>
          <c:orientation val="minMax"/>
        </c:scaling>
        <c:delete val="0"/>
        <c:axPos val="b"/>
        <c:numFmt formatCode="General" sourceLinked="1"/>
        <c:majorTickMark val="out"/>
        <c:minorTickMark val="none"/>
        <c:tickLblPos val="nextTo"/>
        <c:crossAx val="141981184"/>
        <c:crosses val="autoZero"/>
        <c:auto val="1"/>
        <c:lblAlgn val="ctr"/>
        <c:lblOffset val="100"/>
        <c:noMultiLvlLbl val="0"/>
      </c:catAx>
      <c:valAx>
        <c:axId val="141981184"/>
        <c:scaling>
          <c:orientation val="minMax"/>
        </c:scaling>
        <c:delete val="0"/>
        <c:axPos val="l"/>
        <c:majorGridlines/>
        <c:numFmt formatCode="#,##0.0" sourceLinked="1"/>
        <c:majorTickMark val="out"/>
        <c:minorTickMark val="none"/>
        <c:tickLblPos val="nextTo"/>
        <c:crossAx val="141979648"/>
        <c:crosses val="autoZero"/>
        <c:crossBetween val="between"/>
      </c:valAx>
      <c:valAx>
        <c:axId val="141982720"/>
        <c:scaling>
          <c:orientation val="minMax"/>
        </c:scaling>
        <c:delete val="0"/>
        <c:axPos val="r"/>
        <c:numFmt formatCode="#,##0" sourceLinked="1"/>
        <c:majorTickMark val="out"/>
        <c:minorTickMark val="none"/>
        <c:tickLblPos val="nextTo"/>
        <c:crossAx val="142000896"/>
        <c:crosses val="max"/>
        <c:crossBetween val="between"/>
      </c:valAx>
      <c:catAx>
        <c:axId val="142000896"/>
        <c:scaling>
          <c:orientation val="minMax"/>
        </c:scaling>
        <c:delete val="1"/>
        <c:axPos val="b"/>
        <c:numFmt formatCode="General" sourceLinked="1"/>
        <c:majorTickMark val="out"/>
        <c:minorTickMark val="none"/>
        <c:tickLblPos val="none"/>
        <c:crossAx val="141982720"/>
        <c:crosses val="autoZero"/>
        <c:auto val="1"/>
        <c:lblAlgn val="ctr"/>
        <c:lblOffset val="100"/>
        <c:noMultiLvlLbl val="0"/>
      </c:catAx>
    </c:plotArea>
    <c:legend>
      <c:legendPos val="b"/>
      <c:legendEntry>
        <c:idx val="2"/>
        <c:delete val="1"/>
      </c:legendEntry>
      <c:legendEntry>
        <c:idx val="3"/>
        <c:delete val="1"/>
      </c:legendEntry>
      <c:layout>
        <c:manualLayout>
          <c:xMode val="edge"/>
          <c:yMode val="edge"/>
          <c:x val="2.9611111111111216E-2"/>
          <c:y val="0.86181646320900585"/>
          <c:w val="0.95466666666666666"/>
          <c:h val="0.10700231741024623"/>
        </c:manualLayout>
      </c:layout>
      <c:overlay val="0"/>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549066650034745E-2"/>
          <c:y val="4.3284677134656432E-2"/>
          <c:w val="0.7467540358098923"/>
          <c:h val="0.76515755705975363"/>
        </c:manualLayout>
      </c:layout>
      <c:barChart>
        <c:barDir val="col"/>
        <c:grouping val="clustered"/>
        <c:varyColors val="0"/>
        <c:ser>
          <c:idx val="4"/>
          <c:order val="2"/>
          <c:tx>
            <c:strRef>
              <c:f>Ceny!$C$6</c:f>
              <c:strCache>
                <c:ptCount val="1"/>
                <c:pt idx="0">
                  <c:v>Sprzedaż w mln zł</c:v>
                </c:pt>
              </c:strCache>
            </c:strRef>
          </c:tx>
          <c:invertIfNegative val="0"/>
          <c:cat>
            <c:numRef>
              <c:f>Ceny!$D$2:$N$2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Ceny!$D$6:$N$6</c:f>
              <c:numCache>
                <c:formatCode>#,##0</c:formatCode>
                <c:ptCount val="11"/>
                <c:pt idx="0">
                  <c:v>2080</c:v>
                </c:pt>
                <c:pt idx="1">
                  <c:v>2090</c:v>
                </c:pt>
                <c:pt idx="2">
                  <c:v>2210</c:v>
                </c:pt>
                <c:pt idx="3">
                  <c:v>2460</c:v>
                </c:pt>
                <c:pt idx="4">
                  <c:v>2380</c:v>
                </c:pt>
                <c:pt idx="5">
                  <c:v>2600</c:v>
                </c:pt>
                <c:pt idx="6">
                  <c:v>2910</c:v>
                </c:pt>
                <c:pt idx="7">
                  <c:v>2860</c:v>
                </c:pt>
                <c:pt idx="8">
                  <c:v>2940</c:v>
                </c:pt>
                <c:pt idx="9">
                  <c:v>2710</c:v>
                </c:pt>
                <c:pt idx="10">
                  <c:v>2670</c:v>
                </c:pt>
              </c:numCache>
            </c:numRef>
          </c:val>
        </c:ser>
        <c:dLbls>
          <c:showLegendKey val="0"/>
          <c:showVal val="0"/>
          <c:showCatName val="0"/>
          <c:showSerName val="0"/>
          <c:showPercent val="0"/>
          <c:showBubbleSize val="0"/>
        </c:dLbls>
        <c:gapWidth val="150"/>
        <c:axId val="139441664"/>
        <c:axId val="139440128"/>
      </c:barChart>
      <c:lineChart>
        <c:grouping val="standard"/>
        <c:varyColors val="0"/>
        <c:ser>
          <c:idx val="2"/>
          <c:order val="0"/>
          <c:tx>
            <c:strRef>
              <c:f>Ceny!$C$4</c:f>
              <c:strCache>
                <c:ptCount val="1"/>
                <c:pt idx="0">
                  <c:v>Ceny zbytu w zł</c:v>
                </c:pt>
              </c:strCache>
            </c:strRef>
          </c:tx>
          <c:marker>
            <c:symbol val="none"/>
          </c:marker>
          <c:cat>
            <c:numRef>
              <c:f>Ceny!$D$2:$N$2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Ceny!$D$4:$N$4</c:f>
              <c:numCache>
                <c:formatCode>#,##0.00</c:formatCode>
                <c:ptCount val="11"/>
                <c:pt idx="0">
                  <c:v>16.7</c:v>
                </c:pt>
                <c:pt idx="1">
                  <c:v>17.5</c:v>
                </c:pt>
                <c:pt idx="2">
                  <c:v>17.600000000000001</c:v>
                </c:pt>
                <c:pt idx="3">
                  <c:v>17.7</c:v>
                </c:pt>
                <c:pt idx="4">
                  <c:v>18.2</c:v>
                </c:pt>
                <c:pt idx="5">
                  <c:v>18.399999999999999</c:v>
                </c:pt>
                <c:pt idx="6">
                  <c:v>19.8</c:v>
                </c:pt>
                <c:pt idx="7">
                  <c:v>19.899999999999999</c:v>
                </c:pt>
                <c:pt idx="8">
                  <c:v>21</c:v>
                </c:pt>
                <c:pt idx="9">
                  <c:v>22.7</c:v>
                </c:pt>
                <c:pt idx="10">
                  <c:v>23.1</c:v>
                </c:pt>
              </c:numCache>
            </c:numRef>
          </c:val>
          <c:smooth val="0"/>
        </c:ser>
        <c:ser>
          <c:idx val="3"/>
          <c:order val="1"/>
          <c:tx>
            <c:strRef>
              <c:f>Ceny!$C$5</c:f>
              <c:strCache>
                <c:ptCount val="1"/>
                <c:pt idx="0">
                  <c:v>Ceny detaliczne w zł</c:v>
                </c:pt>
              </c:strCache>
            </c:strRef>
          </c:tx>
          <c:marker>
            <c:symbol val="none"/>
          </c:marker>
          <c:cat>
            <c:numRef>
              <c:f>Ceny!$D$2:$N$2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Ceny!$D$5:$N$5</c:f>
              <c:numCache>
                <c:formatCode>#,##0.00</c:formatCode>
                <c:ptCount val="11"/>
                <c:pt idx="0">
                  <c:v>28</c:v>
                </c:pt>
                <c:pt idx="1">
                  <c:v>29.1</c:v>
                </c:pt>
                <c:pt idx="2">
                  <c:v>29.2</c:v>
                </c:pt>
                <c:pt idx="3">
                  <c:v>29.3</c:v>
                </c:pt>
                <c:pt idx="4">
                  <c:v>30.2</c:v>
                </c:pt>
                <c:pt idx="5">
                  <c:v>30.5</c:v>
                </c:pt>
                <c:pt idx="6">
                  <c:v>31.9</c:v>
                </c:pt>
                <c:pt idx="7">
                  <c:v>32.5</c:v>
                </c:pt>
                <c:pt idx="8">
                  <c:v>34.300000000000004</c:v>
                </c:pt>
                <c:pt idx="9">
                  <c:v>37.800000000000004</c:v>
                </c:pt>
                <c:pt idx="10">
                  <c:v>38.700000000000003</c:v>
                </c:pt>
              </c:numCache>
            </c:numRef>
          </c:val>
          <c:smooth val="0"/>
        </c:ser>
        <c:dLbls>
          <c:showLegendKey val="0"/>
          <c:showVal val="0"/>
          <c:showCatName val="0"/>
          <c:showSerName val="0"/>
          <c:showPercent val="0"/>
          <c:showBubbleSize val="0"/>
        </c:dLbls>
        <c:marker val="1"/>
        <c:smooth val="0"/>
        <c:axId val="139432704"/>
        <c:axId val="139434240"/>
      </c:lineChart>
      <c:catAx>
        <c:axId val="139432704"/>
        <c:scaling>
          <c:orientation val="minMax"/>
        </c:scaling>
        <c:delete val="0"/>
        <c:axPos val="b"/>
        <c:numFmt formatCode="General" sourceLinked="1"/>
        <c:majorTickMark val="out"/>
        <c:minorTickMark val="none"/>
        <c:tickLblPos val="nextTo"/>
        <c:crossAx val="139434240"/>
        <c:crosses val="autoZero"/>
        <c:auto val="1"/>
        <c:lblAlgn val="ctr"/>
        <c:lblOffset val="100"/>
        <c:noMultiLvlLbl val="0"/>
      </c:catAx>
      <c:valAx>
        <c:axId val="139434240"/>
        <c:scaling>
          <c:orientation val="minMax"/>
        </c:scaling>
        <c:delete val="0"/>
        <c:axPos val="l"/>
        <c:majorGridlines/>
        <c:numFmt formatCode="#,##0.00" sourceLinked="1"/>
        <c:majorTickMark val="out"/>
        <c:minorTickMark val="none"/>
        <c:tickLblPos val="nextTo"/>
        <c:crossAx val="139432704"/>
        <c:crosses val="autoZero"/>
        <c:crossBetween val="between"/>
      </c:valAx>
      <c:valAx>
        <c:axId val="139440128"/>
        <c:scaling>
          <c:orientation val="minMax"/>
        </c:scaling>
        <c:delete val="0"/>
        <c:axPos val="r"/>
        <c:numFmt formatCode="#,##0" sourceLinked="1"/>
        <c:majorTickMark val="out"/>
        <c:minorTickMark val="none"/>
        <c:tickLblPos val="nextTo"/>
        <c:crossAx val="139441664"/>
        <c:crosses val="max"/>
        <c:crossBetween val="between"/>
      </c:valAx>
      <c:catAx>
        <c:axId val="139441664"/>
        <c:scaling>
          <c:orientation val="minMax"/>
        </c:scaling>
        <c:delete val="1"/>
        <c:axPos val="b"/>
        <c:numFmt formatCode="General" sourceLinked="1"/>
        <c:majorTickMark val="out"/>
        <c:minorTickMark val="none"/>
        <c:tickLblPos val="none"/>
        <c:crossAx val="139440128"/>
        <c:crosses val="autoZero"/>
        <c:auto val="1"/>
        <c:lblAlgn val="ctr"/>
        <c:lblOffset val="100"/>
        <c:noMultiLvlLbl val="0"/>
      </c:catAx>
    </c:plotArea>
    <c:legend>
      <c:legendPos val="b"/>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67798440088606"/>
          <c:y val="4.2174813618383156E-2"/>
          <c:w val="0.85290593994900332"/>
          <c:h val="0.7355228984203287"/>
        </c:manualLayout>
      </c:layout>
      <c:barChart>
        <c:barDir val="col"/>
        <c:grouping val="clustered"/>
        <c:varyColors val="0"/>
        <c:ser>
          <c:idx val="1"/>
          <c:order val="1"/>
          <c:tx>
            <c:strRef>
              <c:f>Ceny!$C$38</c:f>
              <c:strCache>
                <c:ptCount val="1"/>
                <c:pt idx="0">
                  <c:v>ceny detaliczne książek</c:v>
                </c:pt>
              </c:strCache>
            </c:strRef>
          </c:tx>
          <c:spPr>
            <a:solidFill>
              <a:schemeClr val="tx2">
                <a:lumMod val="75000"/>
              </a:schemeClr>
            </a:solidFill>
            <a:ln w="6350">
              <a:solidFill>
                <a:srgbClr val="0070C0"/>
              </a:solidFill>
              <a:prstDash val="solid"/>
            </a:ln>
          </c:spPr>
          <c:invertIfNegative val="0"/>
          <c:cat>
            <c:numRef>
              <c:f>Ceny!$D$35:$J$35</c:f>
              <c:numCache>
                <c:formatCode>General</c:formatCode>
                <c:ptCount val="7"/>
                <c:pt idx="0">
                  <c:v>2006</c:v>
                </c:pt>
                <c:pt idx="1">
                  <c:v>2007</c:v>
                </c:pt>
                <c:pt idx="2">
                  <c:v>2008</c:v>
                </c:pt>
                <c:pt idx="3">
                  <c:v>2009</c:v>
                </c:pt>
                <c:pt idx="4">
                  <c:v>2010</c:v>
                </c:pt>
                <c:pt idx="5">
                  <c:v>2011</c:v>
                </c:pt>
                <c:pt idx="6">
                  <c:v>2012</c:v>
                </c:pt>
              </c:numCache>
            </c:numRef>
          </c:cat>
          <c:val>
            <c:numRef>
              <c:f>Ceny!$D$38:$J$38</c:f>
              <c:numCache>
                <c:formatCode>0.0%</c:formatCode>
                <c:ptCount val="7"/>
                <c:pt idx="0">
                  <c:v>1.0309999999999937</c:v>
                </c:pt>
                <c:pt idx="1">
                  <c:v>1.01</c:v>
                </c:pt>
                <c:pt idx="2">
                  <c:v>1.046</c:v>
                </c:pt>
                <c:pt idx="3">
                  <c:v>1.0189999999999937</c:v>
                </c:pt>
                <c:pt idx="4">
                  <c:v>1.0549999999999944</c:v>
                </c:pt>
                <c:pt idx="5" formatCode="0.00%">
                  <c:v>1.1020000000000001</c:v>
                </c:pt>
                <c:pt idx="6" formatCode="0.00%">
                  <c:v>1.024</c:v>
                </c:pt>
              </c:numCache>
            </c:numRef>
          </c:val>
        </c:ser>
        <c:dLbls>
          <c:showLegendKey val="0"/>
          <c:showVal val="0"/>
          <c:showCatName val="0"/>
          <c:showSerName val="0"/>
          <c:showPercent val="0"/>
          <c:showBubbleSize val="0"/>
        </c:dLbls>
        <c:gapWidth val="150"/>
        <c:axId val="139459968"/>
        <c:axId val="142288000"/>
      </c:barChart>
      <c:lineChart>
        <c:grouping val="standard"/>
        <c:varyColors val="0"/>
        <c:ser>
          <c:idx val="0"/>
          <c:order val="0"/>
          <c:tx>
            <c:strRef>
              <c:f>Ceny!$C$37</c:f>
              <c:strCache>
                <c:ptCount val="1"/>
                <c:pt idx="0">
                  <c:v>ceny zbytu książek</c:v>
                </c:pt>
              </c:strCache>
            </c:strRef>
          </c:tx>
          <c:spPr>
            <a:ln>
              <a:solidFill>
                <a:schemeClr val="tx1"/>
              </a:solidFill>
            </a:ln>
          </c:spPr>
          <c:marker>
            <c:symbol val="none"/>
          </c:marker>
          <c:cat>
            <c:numRef>
              <c:f>Ceny!$D$35:$J$35</c:f>
              <c:numCache>
                <c:formatCode>General</c:formatCode>
                <c:ptCount val="7"/>
                <c:pt idx="0">
                  <c:v>2006</c:v>
                </c:pt>
                <c:pt idx="1">
                  <c:v>2007</c:v>
                </c:pt>
                <c:pt idx="2">
                  <c:v>2008</c:v>
                </c:pt>
                <c:pt idx="3">
                  <c:v>2009</c:v>
                </c:pt>
                <c:pt idx="4">
                  <c:v>2010</c:v>
                </c:pt>
                <c:pt idx="5">
                  <c:v>2011</c:v>
                </c:pt>
                <c:pt idx="6">
                  <c:v>2012</c:v>
                </c:pt>
              </c:numCache>
            </c:numRef>
          </c:cat>
          <c:val>
            <c:numRef>
              <c:f>Ceny!$D$37:$J$37</c:f>
              <c:numCache>
                <c:formatCode>0.0%</c:formatCode>
                <c:ptCount val="7"/>
                <c:pt idx="0">
                  <c:v>1.028</c:v>
                </c:pt>
                <c:pt idx="1">
                  <c:v>1.0109999999999937</c:v>
                </c:pt>
                <c:pt idx="2">
                  <c:v>1.0760000000000001</c:v>
                </c:pt>
                <c:pt idx="3">
                  <c:v>1.0049999999999937</c:v>
                </c:pt>
                <c:pt idx="4">
                  <c:v>1.0549999999999944</c:v>
                </c:pt>
                <c:pt idx="5" formatCode="0.00%">
                  <c:v>1.081</c:v>
                </c:pt>
                <c:pt idx="6" formatCode="0.00%">
                  <c:v>1.018</c:v>
                </c:pt>
              </c:numCache>
            </c:numRef>
          </c:val>
          <c:smooth val="0"/>
        </c:ser>
        <c:ser>
          <c:idx val="2"/>
          <c:order val="2"/>
          <c:tx>
            <c:strRef>
              <c:f>Ceny!$C$39</c:f>
              <c:strCache>
                <c:ptCount val="1"/>
                <c:pt idx="0">
                  <c:v>poligraficzna produkcja sprzedana</c:v>
                </c:pt>
              </c:strCache>
            </c:strRef>
          </c:tx>
          <c:spPr>
            <a:ln w="44450" cmpd="sng">
              <a:solidFill>
                <a:srgbClr val="FF0000"/>
              </a:solidFill>
              <a:prstDash val="solid"/>
            </a:ln>
          </c:spPr>
          <c:marker>
            <c:symbol val="none"/>
          </c:marker>
          <c:cat>
            <c:numRef>
              <c:f>Ceny!$D$35:$J$35</c:f>
              <c:numCache>
                <c:formatCode>General</c:formatCode>
                <c:ptCount val="7"/>
                <c:pt idx="0">
                  <c:v>2006</c:v>
                </c:pt>
                <c:pt idx="1">
                  <c:v>2007</c:v>
                </c:pt>
                <c:pt idx="2">
                  <c:v>2008</c:v>
                </c:pt>
                <c:pt idx="3">
                  <c:v>2009</c:v>
                </c:pt>
                <c:pt idx="4">
                  <c:v>2010</c:v>
                </c:pt>
                <c:pt idx="5">
                  <c:v>2011</c:v>
                </c:pt>
                <c:pt idx="6">
                  <c:v>2012</c:v>
                </c:pt>
              </c:numCache>
            </c:numRef>
          </c:cat>
          <c:val>
            <c:numRef>
              <c:f>Ceny!$D$39:$J$39</c:f>
              <c:numCache>
                <c:formatCode>0.0%</c:formatCode>
                <c:ptCount val="7"/>
                <c:pt idx="0">
                  <c:v>0.95100000000000062</c:v>
                </c:pt>
                <c:pt idx="1">
                  <c:v>0.97400000000000064</c:v>
                </c:pt>
                <c:pt idx="2">
                  <c:v>1.0229999999999937</c:v>
                </c:pt>
                <c:pt idx="3">
                  <c:v>1.0049999999999937</c:v>
                </c:pt>
                <c:pt idx="4">
                  <c:v>0.98299999999999998</c:v>
                </c:pt>
                <c:pt idx="5" formatCode="0.00%">
                  <c:v>1.0269999999999937</c:v>
                </c:pt>
                <c:pt idx="6" formatCode="0.00%">
                  <c:v>0.99199999999999999</c:v>
                </c:pt>
              </c:numCache>
            </c:numRef>
          </c:val>
          <c:smooth val="0"/>
        </c:ser>
        <c:dLbls>
          <c:showLegendKey val="0"/>
          <c:showVal val="0"/>
          <c:showCatName val="0"/>
          <c:showSerName val="0"/>
          <c:showPercent val="0"/>
          <c:showBubbleSize val="0"/>
        </c:dLbls>
        <c:marker val="1"/>
        <c:smooth val="0"/>
        <c:axId val="139459968"/>
        <c:axId val="142288000"/>
      </c:lineChart>
      <c:catAx>
        <c:axId val="139459968"/>
        <c:scaling>
          <c:orientation val="minMax"/>
        </c:scaling>
        <c:delete val="0"/>
        <c:axPos val="b"/>
        <c:numFmt formatCode="General" sourceLinked="1"/>
        <c:majorTickMark val="out"/>
        <c:minorTickMark val="none"/>
        <c:tickLblPos val="nextTo"/>
        <c:spPr>
          <a:ln w="25400"/>
        </c:spPr>
        <c:txPr>
          <a:bodyPr/>
          <a:lstStyle/>
          <a:p>
            <a:pPr>
              <a:defRPr b="1"/>
            </a:pPr>
            <a:endParaRPr lang="pl-PL"/>
          </a:p>
        </c:txPr>
        <c:crossAx val="142288000"/>
        <c:crosses val="autoZero"/>
        <c:auto val="1"/>
        <c:lblAlgn val="ctr"/>
        <c:lblOffset val="100"/>
        <c:noMultiLvlLbl val="0"/>
      </c:catAx>
      <c:valAx>
        <c:axId val="142288000"/>
        <c:scaling>
          <c:orientation val="minMax"/>
        </c:scaling>
        <c:delete val="0"/>
        <c:axPos val="l"/>
        <c:majorGridlines/>
        <c:numFmt formatCode="0%" sourceLinked="0"/>
        <c:majorTickMark val="out"/>
        <c:minorTickMark val="none"/>
        <c:tickLblPos val="nextTo"/>
        <c:spPr>
          <a:ln w="25400"/>
        </c:spPr>
        <c:txPr>
          <a:bodyPr/>
          <a:lstStyle/>
          <a:p>
            <a:pPr>
              <a:defRPr b="1"/>
            </a:pPr>
            <a:endParaRPr lang="pl-PL"/>
          </a:p>
        </c:txPr>
        <c:crossAx val="139459968"/>
        <c:crosses val="autoZero"/>
        <c:crossBetween val="between"/>
      </c:valAx>
    </c:plotArea>
    <c:legend>
      <c:legendPos val="r"/>
      <c:layout>
        <c:manualLayout>
          <c:xMode val="edge"/>
          <c:yMode val="edge"/>
          <c:x val="0.11579196217494089"/>
          <c:y val="0.86891494460583862"/>
          <c:w val="0.85347517730496469"/>
          <c:h val="0.11234191115773511"/>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Dystrybucja!$C$4:$D$4</c:f>
              <c:strCache>
                <c:ptCount val="1"/>
                <c:pt idx="0">
                  <c:v>rok 2011</c:v>
                </c:pt>
              </c:strCache>
            </c:strRef>
          </c:tx>
          <c:explosion val="26"/>
          <c:dLbls>
            <c:dLbl>
              <c:idx val="0"/>
              <c:layout>
                <c:manualLayout>
                  <c:x val="-3.8464129483814592E-2"/>
                  <c:y val="-7.3345363079615047E-2"/>
                </c:manualLayout>
              </c:layout>
              <c:showLegendKey val="0"/>
              <c:showVal val="1"/>
              <c:showCatName val="0"/>
              <c:showSerName val="0"/>
              <c:showPercent val="0"/>
              <c:showBubbleSize val="0"/>
            </c:dLbl>
            <c:dLbl>
              <c:idx val="1"/>
              <c:layout>
                <c:manualLayout>
                  <c:x val="9.1474190726159223E-3"/>
                  <c:y val="-4.8990594925634741E-2"/>
                </c:manualLayout>
              </c:layout>
              <c:showLegendKey val="0"/>
              <c:showVal val="1"/>
              <c:showCatName val="0"/>
              <c:showSerName val="0"/>
              <c:showPercent val="0"/>
              <c:showBubbleSize val="0"/>
            </c:dLbl>
            <c:dLbl>
              <c:idx val="2"/>
              <c:layout>
                <c:manualLayout>
                  <c:x val="2.3979111986001802E-2"/>
                  <c:y val="6.3590696996209034E-2"/>
                </c:manualLayout>
              </c:layout>
              <c:showLegendKey val="0"/>
              <c:showVal val="1"/>
              <c:showCatName val="0"/>
              <c:showSerName val="0"/>
              <c:showPercent val="0"/>
              <c:showBubbleSize val="0"/>
            </c:dLbl>
            <c:dLbl>
              <c:idx val="3"/>
              <c:layout>
                <c:manualLayout>
                  <c:x val="5.7026246719160095E-2"/>
                  <c:y val="1.6628390201224846E-2"/>
                </c:manualLayout>
              </c:layout>
              <c:showLegendKey val="0"/>
              <c:showVal val="1"/>
              <c:showCatName val="0"/>
              <c:showSerName val="0"/>
              <c:showPercent val="0"/>
              <c:showBubbleSize val="0"/>
            </c:dLbl>
            <c:dLbl>
              <c:idx val="4"/>
              <c:layout>
                <c:manualLayout>
                  <c:x val="2.6111111111111206E-2"/>
                  <c:y val="-8.9743365412657608E-2"/>
                </c:manualLayout>
              </c:layout>
              <c:showLegendKey val="0"/>
              <c:showVal val="1"/>
              <c:showCatName val="0"/>
              <c:showSerName val="0"/>
              <c:showPercent val="0"/>
              <c:showBubbleSize val="0"/>
            </c:dLbl>
            <c:dLbl>
              <c:idx val="5"/>
              <c:layout>
                <c:manualLayout>
                  <c:x val="4.4320100612423474E-2"/>
                  <c:y val="-4.8964712744240323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Dystrybucja!$C$5:$C$10</c:f>
              <c:strCache>
                <c:ptCount val="6"/>
                <c:pt idx="0">
                  <c:v>sprzedaż własna</c:v>
                </c:pt>
                <c:pt idx="1">
                  <c:v>księgarnie detaliczne</c:v>
                </c:pt>
                <c:pt idx="2">
                  <c:v>księgarnie internetowe</c:v>
                </c:pt>
                <c:pt idx="3">
                  <c:v>największe hurtownie (7)</c:v>
                </c:pt>
                <c:pt idx="4">
                  <c:v>pozostałe hurtownie</c:v>
                </c:pt>
                <c:pt idx="5">
                  <c:v>sprzedaż inna</c:v>
                </c:pt>
              </c:strCache>
            </c:strRef>
          </c:cat>
          <c:val>
            <c:numRef>
              <c:f>Dystrybucja!$D$5:$D$10</c:f>
              <c:numCache>
                <c:formatCode>0%</c:formatCode>
                <c:ptCount val="6"/>
                <c:pt idx="0">
                  <c:v>0.22</c:v>
                </c:pt>
                <c:pt idx="1">
                  <c:v>0.13</c:v>
                </c:pt>
                <c:pt idx="2">
                  <c:v>6.0000000000000032E-2</c:v>
                </c:pt>
                <c:pt idx="3">
                  <c:v>0.26</c:v>
                </c:pt>
                <c:pt idx="4">
                  <c:v>0.25</c:v>
                </c:pt>
                <c:pt idx="5">
                  <c:v>8.0000000000000043E-2</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2500000000000001E-2"/>
          <c:y val="0.17842155147273339"/>
          <c:w val="0.89722222222222159"/>
          <c:h val="0.71711541265675538"/>
        </c:manualLayout>
      </c:layout>
      <c:pie3DChart>
        <c:varyColors val="1"/>
        <c:ser>
          <c:idx val="0"/>
          <c:order val="0"/>
          <c:tx>
            <c:strRef>
              <c:f>Dystrybucja!$C$33:$D$33</c:f>
              <c:strCache>
                <c:ptCount val="1"/>
                <c:pt idx="0">
                  <c:v>rok 2012</c:v>
                </c:pt>
              </c:strCache>
            </c:strRef>
          </c:tx>
          <c:explosion val="25"/>
          <c:dLbls>
            <c:dLbl>
              <c:idx val="0"/>
              <c:layout>
                <c:manualLayout>
                  <c:x val="8.679636920385049E-2"/>
                  <c:y val="2.3551691455234766E-2"/>
                </c:manualLayout>
              </c:layout>
              <c:showLegendKey val="0"/>
              <c:showVal val="1"/>
              <c:showCatName val="0"/>
              <c:showSerName val="0"/>
              <c:showPercent val="0"/>
              <c:showBubbleSize val="0"/>
            </c:dLbl>
            <c:dLbl>
              <c:idx val="1"/>
              <c:layout>
                <c:manualLayout>
                  <c:x val="1.1236001749781361E-2"/>
                  <c:y val="-2.2432560513269459E-2"/>
                </c:manualLayout>
              </c:layout>
              <c:showLegendKey val="0"/>
              <c:showVal val="1"/>
              <c:showCatName val="0"/>
              <c:showSerName val="0"/>
              <c:showPercent val="0"/>
              <c:showBubbleSize val="0"/>
            </c:dLbl>
            <c:dLbl>
              <c:idx val="2"/>
              <c:layout>
                <c:manualLayout>
                  <c:x val="3.3320209973753283E-2"/>
                  <c:y val="-9.1247448235637248E-3"/>
                </c:manualLayout>
              </c:layout>
              <c:showLegendKey val="0"/>
              <c:showVal val="1"/>
              <c:showCatName val="0"/>
              <c:showSerName val="0"/>
              <c:showPercent val="0"/>
              <c:showBubbleSize val="0"/>
            </c:dLbl>
            <c:dLbl>
              <c:idx val="3"/>
              <c:layout>
                <c:manualLayout>
                  <c:x val="0.24822965879265091"/>
                  <c:y val="-1.9009186351706047E-2"/>
                </c:manualLayout>
              </c:layout>
              <c:showLegendKey val="0"/>
              <c:showVal val="1"/>
              <c:showCatName val="0"/>
              <c:showSerName val="0"/>
              <c:showPercent val="0"/>
              <c:showBubbleSize val="0"/>
            </c:dLbl>
            <c:dLbl>
              <c:idx val="4"/>
              <c:layout>
                <c:manualLayout>
                  <c:x val="2.8134733158355203E-2"/>
                  <c:y val="-0.14301472732575088"/>
                </c:manualLayout>
              </c:layout>
              <c:showLegendKey val="0"/>
              <c:showVal val="1"/>
              <c:showCatName val="0"/>
              <c:showSerName val="0"/>
              <c:showPercent val="0"/>
              <c:showBubbleSize val="0"/>
            </c:dLbl>
            <c:dLbl>
              <c:idx val="5"/>
              <c:layout>
                <c:manualLayout>
                  <c:x val="-6.5318460192475974E-2"/>
                  <c:y val="1.3094925634295727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Dystrybucja!$C$33:$C$39</c:f>
              <c:strCache>
                <c:ptCount val="7"/>
                <c:pt idx="0">
                  <c:v>rok</c:v>
                </c:pt>
                <c:pt idx="1">
                  <c:v>sprzedaż własna</c:v>
                </c:pt>
                <c:pt idx="2">
                  <c:v>księgarnie detaliczne</c:v>
                </c:pt>
                <c:pt idx="3">
                  <c:v>księgarnie internetowe</c:v>
                </c:pt>
                <c:pt idx="4">
                  <c:v>największe hurtownie (7)</c:v>
                </c:pt>
                <c:pt idx="5">
                  <c:v>pozostałe hurtownie</c:v>
                </c:pt>
                <c:pt idx="6">
                  <c:v>sprzedaż inna</c:v>
                </c:pt>
              </c:strCache>
            </c:strRef>
          </c:cat>
          <c:val>
            <c:numRef>
              <c:f>Dystrybucja!$D$34:$D$39</c:f>
              <c:numCache>
                <c:formatCode>0%</c:formatCode>
                <c:ptCount val="6"/>
                <c:pt idx="0">
                  <c:v>0.19</c:v>
                </c:pt>
                <c:pt idx="1">
                  <c:v>0.11</c:v>
                </c:pt>
                <c:pt idx="2">
                  <c:v>0.05</c:v>
                </c:pt>
                <c:pt idx="3">
                  <c:v>0.31000000000000139</c:v>
                </c:pt>
                <c:pt idx="4">
                  <c:v>0.25</c:v>
                </c:pt>
                <c:pt idx="5">
                  <c:v>9.0000000000000024E-2</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021010390230295"/>
          <c:y val="0.12894031482139157"/>
          <c:w val="0.40936830003687735"/>
          <c:h val="0.65694382366660875"/>
        </c:manualLayout>
      </c:layout>
      <c:radarChart>
        <c:radarStyle val="marker"/>
        <c:varyColors val="0"/>
        <c:ser>
          <c:idx val="0"/>
          <c:order val="0"/>
          <c:tx>
            <c:strRef>
              <c:f>KCS!$G$4</c:f>
              <c:strCache>
                <c:ptCount val="1"/>
                <c:pt idx="0">
                  <c:v>Wynik przed 1989 rokiem</c:v>
                </c:pt>
              </c:strCache>
            </c:strRef>
          </c:tx>
          <c:marker>
            <c:symbol val="none"/>
          </c:marker>
          <c:cat>
            <c:strRef>
              <c:f>KCS!$C$5:$C$16</c:f>
              <c:strCache>
                <c:ptCount val="12"/>
                <c:pt idx="0">
                  <c:v>Efektywność kanałów dystrybucji</c:v>
                </c:pt>
                <c:pt idx="1">
                  <c:v>Wysokość rabatów dystrybucji</c:v>
                </c:pt>
                <c:pt idx="2">
                  <c:v>Czas i terminowość realizacji należności </c:v>
                </c:pt>
                <c:pt idx="3">
                  <c:v>Elastyczność reakcji na potrzeby czytelnika</c:v>
                </c:pt>
                <c:pt idx="4">
                  <c:v>Efektywność informacji o ofercie książek</c:v>
                </c:pt>
                <c:pt idx="5">
                  <c:v>Możliwości finansowe</c:v>
                </c:pt>
                <c:pt idx="6">
                  <c:v>Wielkość  oferty tytułowej</c:v>
                </c:pt>
                <c:pt idx="7">
                  <c:v>Udział kosztów poligraficznych</c:v>
                </c:pt>
                <c:pt idx="8">
                  <c:v>Cyfrowa dostępność tytułów</c:v>
                </c:pt>
                <c:pt idx="9">
                  <c:v>Poziom edytorski wydawnictw</c:v>
                </c:pt>
                <c:pt idx="10">
                  <c:v>Zgromadzone prawa majątkowe</c:v>
                </c:pt>
                <c:pt idx="11">
                  <c:v>Siła marki wydawnictwa</c:v>
                </c:pt>
              </c:strCache>
            </c:strRef>
          </c:cat>
          <c:val>
            <c:numRef>
              <c:f>KCS!$G$5:$G$16</c:f>
              <c:numCache>
                <c:formatCode>#,##0.00</c:formatCode>
                <c:ptCount val="12"/>
                <c:pt idx="0">
                  <c:v>0.48000000000000032</c:v>
                </c:pt>
                <c:pt idx="1">
                  <c:v>0.33000000000000185</c:v>
                </c:pt>
                <c:pt idx="2">
                  <c:v>0.44400000000000001</c:v>
                </c:pt>
                <c:pt idx="3">
                  <c:v>0.1</c:v>
                </c:pt>
                <c:pt idx="4">
                  <c:v>0.18000000000000024</c:v>
                </c:pt>
                <c:pt idx="5">
                  <c:v>0.36000000000000032</c:v>
                </c:pt>
                <c:pt idx="6">
                  <c:v>8.0000000000000043E-2</c:v>
                </c:pt>
                <c:pt idx="7">
                  <c:v>7.0000000000000021E-2</c:v>
                </c:pt>
                <c:pt idx="8">
                  <c:v>7.0000000000000021E-2</c:v>
                </c:pt>
                <c:pt idx="9">
                  <c:v>0.24000000000000021</c:v>
                </c:pt>
                <c:pt idx="10">
                  <c:v>0.05</c:v>
                </c:pt>
                <c:pt idx="11">
                  <c:v>0.2</c:v>
                </c:pt>
              </c:numCache>
            </c:numRef>
          </c:val>
        </c:ser>
        <c:ser>
          <c:idx val="1"/>
          <c:order val="1"/>
          <c:tx>
            <c:strRef>
              <c:f>KCS!$I$4</c:f>
              <c:strCache>
                <c:ptCount val="1"/>
                <c:pt idx="0">
                  <c:v>Wynik w 2012 roku</c:v>
                </c:pt>
              </c:strCache>
            </c:strRef>
          </c:tx>
          <c:marker>
            <c:symbol val="none"/>
          </c:marker>
          <c:cat>
            <c:strRef>
              <c:f>KCS!$C$5:$C$16</c:f>
              <c:strCache>
                <c:ptCount val="12"/>
                <c:pt idx="0">
                  <c:v>Efektywność kanałów dystrybucji</c:v>
                </c:pt>
                <c:pt idx="1">
                  <c:v>Wysokość rabatów dystrybucji</c:v>
                </c:pt>
                <c:pt idx="2">
                  <c:v>Czas i terminowość realizacji należności </c:v>
                </c:pt>
                <c:pt idx="3">
                  <c:v>Elastyczność reakcji na potrzeby czytelnika</c:v>
                </c:pt>
                <c:pt idx="4">
                  <c:v>Efektywność informacji o ofercie książek</c:v>
                </c:pt>
                <c:pt idx="5">
                  <c:v>Możliwości finansowe</c:v>
                </c:pt>
                <c:pt idx="6">
                  <c:v>Wielkość  oferty tytułowej</c:v>
                </c:pt>
                <c:pt idx="7">
                  <c:v>Udział kosztów poligraficznych</c:v>
                </c:pt>
                <c:pt idx="8">
                  <c:v>Cyfrowa dostępność tytułów</c:v>
                </c:pt>
                <c:pt idx="9">
                  <c:v>Poziom edytorski wydawnictw</c:v>
                </c:pt>
                <c:pt idx="10">
                  <c:v>Zgromadzone prawa majątkowe</c:v>
                </c:pt>
                <c:pt idx="11">
                  <c:v>Siła marki wydawnictwa</c:v>
                </c:pt>
              </c:strCache>
            </c:strRef>
          </c:cat>
          <c:val>
            <c:numRef>
              <c:f>KCS!$I$5:$I$16</c:f>
              <c:numCache>
                <c:formatCode>#,##0.00</c:formatCode>
                <c:ptCount val="12"/>
                <c:pt idx="0">
                  <c:v>0.36000000000000032</c:v>
                </c:pt>
                <c:pt idx="1">
                  <c:v>0.11</c:v>
                </c:pt>
                <c:pt idx="2">
                  <c:v>0.111</c:v>
                </c:pt>
                <c:pt idx="3">
                  <c:v>0.5</c:v>
                </c:pt>
                <c:pt idx="4">
                  <c:v>0.27</c:v>
                </c:pt>
                <c:pt idx="5">
                  <c:v>0.27</c:v>
                </c:pt>
                <c:pt idx="6">
                  <c:v>0.4</c:v>
                </c:pt>
                <c:pt idx="7">
                  <c:v>0.21000000000000021</c:v>
                </c:pt>
                <c:pt idx="8">
                  <c:v>0.35000000000000031</c:v>
                </c:pt>
                <c:pt idx="9">
                  <c:v>0.18000000000000024</c:v>
                </c:pt>
                <c:pt idx="10">
                  <c:v>0.2</c:v>
                </c:pt>
                <c:pt idx="11">
                  <c:v>0.15000000000000024</c:v>
                </c:pt>
              </c:numCache>
            </c:numRef>
          </c:val>
        </c:ser>
        <c:dLbls>
          <c:showLegendKey val="0"/>
          <c:showVal val="0"/>
          <c:showCatName val="0"/>
          <c:showSerName val="0"/>
          <c:showPercent val="0"/>
          <c:showBubbleSize val="0"/>
        </c:dLbls>
        <c:axId val="142342400"/>
        <c:axId val="142352384"/>
      </c:radarChart>
      <c:catAx>
        <c:axId val="142342400"/>
        <c:scaling>
          <c:orientation val="minMax"/>
        </c:scaling>
        <c:delete val="0"/>
        <c:axPos val="b"/>
        <c:majorGridlines/>
        <c:majorTickMark val="out"/>
        <c:minorTickMark val="none"/>
        <c:tickLblPos val="nextTo"/>
        <c:crossAx val="142352384"/>
        <c:crosses val="autoZero"/>
        <c:auto val="1"/>
        <c:lblAlgn val="ctr"/>
        <c:lblOffset val="100"/>
        <c:noMultiLvlLbl val="0"/>
      </c:catAx>
      <c:valAx>
        <c:axId val="142352384"/>
        <c:scaling>
          <c:orientation val="minMax"/>
        </c:scaling>
        <c:delete val="0"/>
        <c:axPos val="l"/>
        <c:majorGridlines/>
        <c:numFmt formatCode="#,##0.00" sourceLinked="1"/>
        <c:majorTickMark val="cross"/>
        <c:minorTickMark val="none"/>
        <c:tickLblPos val="nextTo"/>
        <c:crossAx val="142342400"/>
        <c:crosses val="autoZero"/>
        <c:crossBetween val="between"/>
      </c:valAx>
    </c:plotArea>
    <c:legend>
      <c:legendPos val="b"/>
      <c:overlay val="0"/>
      <c:txPr>
        <a:bodyPr/>
        <a:lstStyle/>
        <a:p>
          <a:pPr>
            <a:defRPr b="1"/>
          </a:pPr>
          <a:endParaRPr lang="pl-PL"/>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754319554472678"/>
          <c:y val="0.13199322751409651"/>
          <c:w val="0.41418795957819354"/>
          <c:h val="0.68778445158657575"/>
        </c:manualLayout>
      </c:layout>
      <c:radarChart>
        <c:radarStyle val="marker"/>
        <c:varyColors val="0"/>
        <c:ser>
          <c:idx val="0"/>
          <c:order val="0"/>
          <c:tx>
            <c:strRef>
              <c:f>KCS!$F$4</c:f>
              <c:strCache>
                <c:ptCount val="1"/>
                <c:pt idx="0">
                  <c:v>Ocena przed 1989 rokiem</c:v>
                </c:pt>
              </c:strCache>
            </c:strRef>
          </c:tx>
          <c:marker>
            <c:symbol val="none"/>
          </c:marker>
          <c:cat>
            <c:strRef>
              <c:f>KCS!$C$5:$C$16</c:f>
              <c:strCache>
                <c:ptCount val="12"/>
                <c:pt idx="0">
                  <c:v>Efektywność kanałów dystrybucji</c:v>
                </c:pt>
                <c:pt idx="1">
                  <c:v>Wysokość rabatów dystrybucji</c:v>
                </c:pt>
                <c:pt idx="2">
                  <c:v>Czas i terminowość realizacji należności </c:v>
                </c:pt>
                <c:pt idx="3">
                  <c:v>Elastyczność reakcji na potrzeby czytelnika</c:v>
                </c:pt>
                <c:pt idx="4">
                  <c:v>Efektywność informacji o ofercie książek</c:v>
                </c:pt>
                <c:pt idx="5">
                  <c:v>Możliwości finansowe</c:v>
                </c:pt>
                <c:pt idx="6">
                  <c:v>Wielkość  oferty tytułowej</c:v>
                </c:pt>
                <c:pt idx="7">
                  <c:v>Udział kosztów poligraficznych</c:v>
                </c:pt>
                <c:pt idx="8">
                  <c:v>Cyfrowa dostępność tytułów</c:v>
                </c:pt>
                <c:pt idx="9">
                  <c:v>Poziom edytorski wydawnictw</c:v>
                </c:pt>
                <c:pt idx="10">
                  <c:v>Zgromadzone prawa majątkowe</c:v>
                </c:pt>
                <c:pt idx="11">
                  <c:v>Siła marki wydawnictwa</c:v>
                </c:pt>
              </c:strCache>
            </c:strRef>
          </c:cat>
          <c:val>
            <c:numRef>
              <c:f>KCS!$F$5:$F$16</c:f>
              <c:numCache>
                <c:formatCode>0</c:formatCode>
                <c:ptCount val="12"/>
                <c:pt idx="0">
                  <c:v>4</c:v>
                </c:pt>
                <c:pt idx="1">
                  <c:v>3</c:v>
                </c:pt>
                <c:pt idx="2">
                  <c:v>4</c:v>
                </c:pt>
                <c:pt idx="3">
                  <c:v>1</c:v>
                </c:pt>
                <c:pt idx="4">
                  <c:v>2</c:v>
                </c:pt>
                <c:pt idx="5">
                  <c:v>4</c:v>
                </c:pt>
                <c:pt idx="6">
                  <c:v>1</c:v>
                </c:pt>
                <c:pt idx="7">
                  <c:v>1</c:v>
                </c:pt>
                <c:pt idx="8">
                  <c:v>1</c:v>
                </c:pt>
                <c:pt idx="9">
                  <c:v>4</c:v>
                </c:pt>
                <c:pt idx="10">
                  <c:v>1</c:v>
                </c:pt>
                <c:pt idx="11">
                  <c:v>4</c:v>
                </c:pt>
              </c:numCache>
            </c:numRef>
          </c:val>
        </c:ser>
        <c:ser>
          <c:idx val="1"/>
          <c:order val="1"/>
          <c:tx>
            <c:strRef>
              <c:f>KCS!$H$4</c:f>
              <c:strCache>
                <c:ptCount val="1"/>
                <c:pt idx="0">
                  <c:v>Ocena w 2012 roku</c:v>
                </c:pt>
              </c:strCache>
            </c:strRef>
          </c:tx>
          <c:marker>
            <c:symbol val="none"/>
          </c:marker>
          <c:cat>
            <c:strRef>
              <c:f>KCS!$C$5:$C$16</c:f>
              <c:strCache>
                <c:ptCount val="12"/>
                <c:pt idx="0">
                  <c:v>Efektywność kanałów dystrybucji</c:v>
                </c:pt>
                <c:pt idx="1">
                  <c:v>Wysokość rabatów dystrybucji</c:v>
                </c:pt>
                <c:pt idx="2">
                  <c:v>Czas i terminowość realizacji należności </c:v>
                </c:pt>
                <c:pt idx="3">
                  <c:v>Elastyczność reakcji na potrzeby czytelnika</c:v>
                </c:pt>
                <c:pt idx="4">
                  <c:v>Efektywność informacji o ofercie książek</c:v>
                </c:pt>
                <c:pt idx="5">
                  <c:v>Możliwości finansowe</c:v>
                </c:pt>
                <c:pt idx="6">
                  <c:v>Wielkość  oferty tytułowej</c:v>
                </c:pt>
                <c:pt idx="7">
                  <c:v>Udział kosztów poligraficznych</c:v>
                </c:pt>
                <c:pt idx="8">
                  <c:v>Cyfrowa dostępność tytułów</c:v>
                </c:pt>
                <c:pt idx="9">
                  <c:v>Poziom edytorski wydawnictw</c:v>
                </c:pt>
                <c:pt idx="10">
                  <c:v>Zgromadzone prawa majątkowe</c:v>
                </c:pt>
                <c:pt idx="11">
                  <c:v>Siła marki wydawnictwa</c:v>
                </c:pt>
              </c:strCache>
            </c:strRef>
          </c:cat>
          <c:val>
            <c:numRef>
              <c:f>KCS!$H$5:$H$16</c:f>
              <c:numCache>
                <c:formatCode>0</c:formatCode>
                <c:ptCount val="12"/>
                <c:pt idx="0">
                  <c:v>3</c:v>
                </c:pt>
                <c:pt idx="1">
                  <c:v>1</c:v>
                </c:pt>
                <c:pt idx="2">
                  <c:v>1</c:v>
                </c:pt>
                <c:pt idx="3">
                  <c:v>5</c:v>
                </c:pt>
                <c:pt idx="4">
                  <c:v>3</c:v>
                </c:pt>
                <c:pt idx="5">
                  <c:v>3</c:v>
                </c:pt>
                <c:pt idx="6">
                  <c:v>5</c:v>
                </c:pt>
                <c:pt idx="7">
                  <c:v>3</c:v>
                </c:pt>
                <c:pt idx="8">
                  <c:v>5</c:v>
                </c:pt>
                <c:pt idx="9">
                  <c:v>3</c:v>
                </c:pt>
                <c:pt idx="10">
                  <c:v>4</c:v>
                </c:pt>
                <c:pt idx="11">
                  <c:v>3</c:v>
                </c:pt>
              </c:numCache>
            </c:numRef>
          </c:val>
        </c:ser>
        <c:dLbls>
          <c:showLegendKey val="0"/>
          <c:showVal val="0"/>
          <c:showCatName val="0"/>
          <c:showSerName val="0"/>
          <c:showPercent val="0"/>
          <c:showBubbleSize val="0"/>
        </c:dLbls>
        <c:axId val="142381440"/>
        <c:axId val="142382976"/>
      </c:radarChart>
      <c:catAx>
        <c:axId val="142381440"/>
        <c:scaling>
          <c:orientation val="minMax"/>
        </c:scaling>
        <c:delete val="0"/>
        <c:axPos val="b"/>
        <c:majorGridlines/>
        <c:majorTickMark val="out"/>
        <c:minorTickMark val="none"/>
        <c:tickLblPos val="nextTo"/>
        <c:crossAx val="142382976"/>
        <c:crosses val="autoZero"/>
        <c:auto val="1"/>
        <c:lblAlgn val="ctr"/>
        <c:lblOffset val="100"/>
        <c:noMultiLvlLbl val="0"/>
      </c:catAx>
      <c:valAx>
        <c:axId val="142382976"/>
        <c:scaling>
          <c:orientation val="minMax"/>
        </c:scaling>
        <c:delete val="0"/>
        <c:axPos val="l"/>
        <c:majorGridlines/>
        <c:numFmt formatCode="0" sourceLinked="1"/>
        <c:majorTickMark val="cross"/>
        <c:minorTickMark val="none"/>
        <c:tickLblPos val="nextTo"/>
        <c:crossAx val="14238144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49022617660419"/>
          <c:y val="5.1400554097404488E-2"/>
          <c:w val="0.6900535357268065"/>
          <c:h val="0.73966487632755384"/>
        </c:manualLayout>
      </c:layout>
      <c:barChart>
        <c:barDir val="col"/>
        <c:grouping val="clustered"/>
        <c:varyColors val="0"/>
        <c:ser>
          <c:idx val="0"/>
          <c:order val="0"/>
          <c:tx>
            <c:strRef>
              <c:f>'Rynek wydawniczy'!$C$6</c:f>
              <c:strCache>
                <c:ptCount val="1"/>
                <c:pt idx="0">
                  <c:v>tytuły</c:v>
                </c:pt>
              </c:strCache>
            </c:strRef>
          </c:tx>
          <c:invertIfNegative val="0"/>
          <c:dLbls>
            <c:showLegendKey val="0"/>
            <c:showVal val="1"/>
            <c:showCatName val="0"/>
            <c:showSerName val="0"/>
            <c:showPercent val="0"/>
            <c:showBubbleSize val="0"/>
            <c:showLeaderLines val="0"/>
          </c:dLbls>
          <c:cat>
            <c:numRef>
              <c:f>'Rynek wydawniczy'!$D$4:$J$4</c:f>
              <c:numCache>
                <c:formatCode>General</c:formatCode>
                <c:ptCount val="7"/>
                <c:pt idx="0">
                  <c:v>1990</c:v>
                </c:pt>
                <c:pt idx="1">
                  <c:v>1995</c:v>
                </c:pt>
                <c:pt idx="2">
                  <c:v>2000</c:v>
                </c:pt>
                <c:pt idx="3">
                  <c:v>2005</c:v>
                </c:pt>
                <c:pt idx="4">
                  <c:v>2010</c:v>
                </c:pt>
                <c:pt idx="5">
                  <c:v>2011</c:v>
                </c:pt>
                <c:pt idx="6">
                  <c:v>2012</c:v>
                </c:pt>
              </c:numCache>
            </c:numRef>
          </c:cat>
          <c:val>
            <c:numRef>
              <c:f>'Rynek wydawniczy'!$D$6:$J$6</c:f>
              <c:numCache>
                <c:formatCode>#,##0</c:formatCode>
                <c:ptCount val="7"/>
                <c:pt idx="0">
                  <c:v>10242</c:v>
                </c:pt>
                <c:pt idx="1">
                  <c:v>11925</c:v>
                </c:pt>
                <c:pt idx="2">
                  <c:v>21647</c:v>
                </c:pt>
                <c:pt idx="3">
                  <c:v>19999</c:v>
                </c:pt>
                <c:pt idx="4">
                  <c:v>29539</c:v>
                </c:pt>
                <c:pt idx="5">
                  <c:v>31511</c:v>
                </c:pt>
                <c:pt idx="6">
                  <c:v>34193</c:v>
                </c:pt>
              </c:numCache>
            </c:numRef>
          </c:val>
        </c:ser>
        <c:dLbls>
          <c:showLegendKey val="0"/>
          <c:showVal val="0"/>
          <c:showCatName val="0"/>
          <c:showSerName val="0"/>
          <c:showPercent val="0"/>
          <c:showBubbleSize val="0"/>
        </c:dLbls>
        <c:gapWidth val="150"/>
        <c:axId val="141619968"/>
        <c:axId val="141621504"/>
      </c:barChart>
      <c:lineChart>
        <c:grouping val="standard"/>
        <c:varyColors val="0"/>
        <c:ser>
          <c:idx val="2"/>
          <c:order val="2"/>
          <c:tx>
            <c:strRef>
              <c:f>'Rynek wydawniczy'!$C$8</c:f>
              <c:strCache>
                <c:ptCount val="1"/>
                <c:pt idx="0">
                  <c:v>średni nakład w egz.</c:v>
                </c:pt>
              </c:strCache>
            </c:strRef>
          </c:tx>
          <c:marker>
            <c:symbol val="none"/>
          </c:marker>
          <c:cat>
            <c:numRef>
              <c:f>'Rynek wydawniczy'!$D$4:$J$4</c:f>
              <c:numCache>
                <c:formatCode>General</c:formatCode>
                <c:ptCount val="7"/>
                <c:pt idx="0">
                  <c:v>1990</c:v>
                </c:pt>
                <c:pt idx="1">
                  <c:v>1995</c:v>
                </c:pt>
                <c:pt idx="2">
                  <c:v>2000</c:v>
                </c:pt>
                <c:pt idx="3">
                  <c:v>2005</c:v>
                </c:pt>
                <c:pt idx="4">
                  <c:v>2010</c:v>
                </c:pt>
                <c:pt idx="5">
                  <c:v>2011</c:v>
                </c:pt>
                <c:pt idx="6">
                  <c:v>2012</c:v>
                </c:pt>
              </c:numCache>
            </c:numRef>
          </c:cat>
          <c:val>
            <c:numRef>
              <c:f>'Rynek wydawniczy'!$D$8:$J$8</c:f>
              <c:numCache>
                <c:formatCode>#,##0</c:formatCode>
                <c:ptCount val="7"/>
                <c:pt idx="0">
                  <c:v>17145.088849834021</c:v>
                </c:pt>
                <c:pt idx="1">
                  <c:v>9693.9203354297042</c:v>
                </c:pt>
                <c:pt idx="2">
                  <c:v>4748.9259481683384</c:v>
                </c:pt>
                <c:pt idx="3">
                  <c:v>4050.2025101255063</c:v>
                </c:pt>
                <c:pt idx="4">
                  <c:v>2823.3860320254612</c:v>
                </c:pt>
                <c:pt idx="5">
                  <c:v>2973.5647868998117</c:v>
                </c:pt>
                <c:pt idx="6">
                  <c:v>2640.8914105226222</c:v>
                </c:pt>
              </c:numCache>
            </c:numRef>
          </c:val>
          <c:smooth val="0"/>
        </c:ser>
        <c:dLbls>
          <c:showLegendKey val="0"/>
          <c:showVal val="0"/>
          <c:showCatName val="0"/>
          <c:showSerName val="0"/>
          <c:showPercent val="0"/>
          <c:showBubbleSize val="0"/>
        </c:dLbls>
        <c:marker val="1"/>
        <c:smooth val="0"/>
        <c:axId val="141619968"/>
        <c:axId val="141621504"/>
      </c:lineChart>
      <c:lineChart>
        <c:grouping val="standard"/>
        <c:varyColors val="0"/>
        <c:ser>
          <c:idx val="1"/>
          <c:order val="1"/>
          <c:tx>
            <c:strRef>
              <c:f>'Rynek wydawniczy'!$C$7</c:f>
              <c:strCache>
                <c:ptCount val="1"/>
                <c:pt idx="0">
                  <c:v>nakłady w mln egz.</c:v>
                </c:pt>
              </c:strCache>
            </c:strRef>
          </c:tx>
          <c:cat>
            <c:numRef>
              <c:f>'Rynek wydawniczy'!$D$4:$J$4</c:f>
              <c:numCache>
                <c:formatCode>General</c:formatCode>
                <c:ptCount val="7"/>
                <c:pt idx="0">
                  <c:v>1990</c:v>
                </c:pt>
                <c:pt idx="1">
                  <c:v>1995</c:v>
                </c:pt>
                <c:pt idx="2">
                  <c:v>2000</c:v>
                </c:pt>
                <c:pt idx="3">
                  <c:v>2005</c:v>
                </c:pt>
                <c:pt idx="4">
                  <c:v>2010</c:v>
                </c:pt>
                <c:pt idx="5">
                  <c:v>2011</c:v>
                </c:pt>
                <c:pt idx="6">
                  <c:v>2012</c:v>
                </c:pt>
              </c:numCache>
            </c:numRef>
          </c:cat>
          <c:val>
            <c:numRef>
              <c:f>'Rynek wydawniczy'!$D$7:$J$7</c:f>
              <c:numCache>
                <c:formatCode>#,##0.0</c:formatCode>
                <c:ptCount val="7"/>
                <c:pt idx="0">
                  <c:v>175.6</c:v>
                </c:pt>
                <c:pt idx="1">
                  <c:v>115.6</c:v>
                </c:pt>
                <c:pt idx="2">
                  <c:v>102.8</c:v>
                </c:pt>
                <c:pt idx="3">
                  <c:v>81</c:v>
                </c:pt>
                <c:pt idx="4">
                  <c:v>83.4</c:v>
                </c:pt>
                <c:pt idx="5">
                  <c:v>93.7</c:v>
                </c:pt>
                <c:pt idx="6" formatCode="General">
                  <c:v>90.3</c:v>
                </c:pt>
              </c:numCache>
            </c:numRef>
          </c:val>
          <c:smooth val="0"/>
        </c:ser>
        <c:dLbls>
          <c:showLegendKey val="0"/>
          <c:showVal val="0"/>
          <c:showCatName val="0"/>
          <c:showSerName val="0"/>
          <c:showPercent val="0"/>
          <c:showBubbleSize val="0"/>
        </c:dLbls>
        <c:marker val="1"/>
        <c:smooth val="0"/>
        <c:axId val="138413568"/>
        <c:axId val="138412032"/>
      </c:lineChart>
      <c:catAx>
        <c:axId val="141619968"/>
        <c:scaling>
          <c:orientation val="minMax"/>
        </c:scaling>
        <c:delete val="0"/>
        <c:axPos val="b"/>
        <c:numFmt formatCode="General" sourceLinked="1"/>
        <c:majorTickMark val="out"/>
        <c:minorTickMark val="none"/>
        <c:tickLblPos val="nextTo"/>
        <c:crossAx val="141621504"/>
        <c:crosses val="autoZero"/>
        <c:auto val="1"/>
        <c:lblAlgn val="ctr"/>
        <c:lblOffset val="100"/>
        <c:noMultiLvlLbl val="0"/>
      </c:catAx>
      <c:valAx>
        <c:axId val="141621504"/>
        <c:scaling>
          <c:orientation val="minMax"/>
        </c:scaling>
        <c:delete val="0"/>
        <c:axPos val="l"/>
        <c:majorGridlines/>
        <c:numFmt formatCode="#,##0" sourceLinked="1"/>
        <c:majorTickMark val="out"/>
        <c:minorTickMark val="none"/>
        <c:tickLblPos val="nextTo"/>
        <c:crossAx val="141619968"/>
        <c:crosses val="autoZero"/>
        <c:crossBetween val="between"/>
      </c:valAx>
      <c:valAx>
        <c:axId val="138412032"/>
        <c:scaling>
          <c:orientation val="minMax"/>
        </c:scaling>
        <c:delete val="0"/>
        <c:axPos val="r"/>
        <c:numFmt formatCode="#,##0.0" sourceLinked="1"/>
        <c:majorTickMark val="out"/>
        <c:minorTickMark val="none"/>
        <c:tickLblPos val="nextTo"/>
        <c:crossAx val="138413568"/>
        <c:crosses val="max"/>
        <c:crossBetween val="between"/>
      </c:valAx>
      <c:catAx>
        <c:axId val="138413568"/>
        <c:scaling>
          <c:orientation val="minMax"/>
        </c:scaling>
        <c:delete val="1"/>
        <c:axPos val="b"/>
        <c:numFmt formatCode="General" sourceLinked="1"/>
        <c:majorTickMark val="out"/>
        <c:minorTickMark val="none"/>
        <c:tickLblPos val="none"/>
        <c:crossAx val="138412032"/>
        <c:crosses val="autoZero"/>
        <c:auto val="1"/>
        <c:lblAlgn val="ctr"/>
        <c:lblOffset val="100"/>
        <c:noMultiLvlLbl val="0"/>
      </c:catAx>
    </c:plotArea>
    <c:legend>
      <c:legendPos val="b"/>
      <c:overlay val="0"/>
    </c:legend>
    <c:plotVisOnly val="1"/>
    <c:dispBlanksAs val="gap"/>
    <c:showDLblsOverMax val="0"/>
  </c:chart>
  <c:txPr>
    <a:bodyPr/>
    <a:lstStyle/>
    <a:p>
      <a:pPr>
        <a:defRPr baseline="0"/>
      </a:pPr>
      <a:endParaRPr lang="pl-PL"/>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46963898870134"/>
          <c:y val="4.8695261776488467E-2"/>
          <c:w val="0.69558371925090856"/>
          <c:h val="0.7602355297693052"/>
        </c:manualLayout>
      </c:layout>
      <c:barChart>
        <c:barDir val="col"/>
        <c:grouping val="clustered"/>
        <c:varyColors val="0"/>
        <c:ser>
          <c:idx val="0"/>
          <c:order val="0"/>
          <c:tx>
            <c:strRef>
              <c:f>'Rynek wydawniczy'!$C$34</c:f>
              <c:strCache>
                <c:ptCount val="1"/>
                <c:pt idx="0">
                  <c:v>tytuły</c:v>
                </c:pt>
              </c:strCache>
            </c:strRef>
          </c:tx>
          <c:invertIfNegative val="0"/>
          <c:dLbls>
            <c:showLegendKey val="0"/>
            <c:showVal val="1"/>
            <c:showCatName val="0"/>
            <c:showSerName val="0"/>
            <c:showPercent val="0"/>
            <c:showBubbleSize val="0"/>
            <c:showLeaderLines val="0"/>
          </c:dLbls>
          <c:cat>
            <c:numRef>
              <c:f>'Rynek wydawniczy'!$D$4:$J$4</c:f>
              <c:numCache>
                <c:formatCode>General</c:formatCode>
                <c:ptCount val="7"/>
                <c:pt idx="0">
                  <c:v>1990</c:v>
                </c:pt>
                <c:pt idx="1">
                  <c:v>1995</c:v>
                </c:pt>
                <c:pt idx="2">
                  <c:v>2000</c:v>
                </c:pt>
                <c:pt idx="3">
                  <c:v>2005</c:v>
                </c:pt>
                <c:pt idx="4">
                  <c:v>2010</c:v>
                </c:pt>
                <c:pt idx="5">
                  <c:v>2011</c:v>
                </c:pt>
                <c:pt idx="6">
                  <c:v>2012</c:v>
                </c:pt>
              </c:numCache>
            </c:numRef>
          </c:cat>
          <c:val>
            <c:numRef>
              <c:f>'Rynek wydawniczy'!$D$34:$J$34</c:f>
              <c:numCache>
                <c:formatCode>General</c:formatCode>
                <c:ptCount val="7"/>
                <c:pt idx="2" formatCode="#,##0">
                  <c:v>25700</c:v>
                </c:pt>
                <c:pt idx="3" formatCode="#,##0">
                  <c:v>20560</c:v>
                </c:pt>
                <c:pt idx="4" formatCode="#,##0">
                  <c:v>24380</c:v>
                </c:pt>
                <c:pt idx="5" formatCode="#,##0">
                  <c:v>24920</c:v>
                </c:pt>
                <c:pt idx="6" formatCode="#,##0">
                  <c:v>27060</c:v>
                </c:pt>
              </c:numCache>
            </c:numRef>
          </c:val>
        </c:ser>
        <c:dLbls>
          <c:showLegendKey val="0"/>
          <c:showVal val="0"/>
          <c:showCatName val="0"/>
          <c:showSerName val="0"/>
          <c:showPercent val="0"/>
          <c:showBubbleSize val="0"/>
        </c:dLbls>
        <c:gapWidth val="150"/>
        <c:axId val="126891904"/>
        <c:axId val="126893440"/>
      </c:barChart>
      <c:lineChart>
        <c:grouping val="standard"/>
        <c:varyColors val="0"/>
        <c:ser>
          <c:idx val="2"/>
          <c:order val="2"/>
          <c:tx>
            <c:strRef>
              <c:f>'Rynek wydawniczy'!$C$36</c:f>
              <c:strCache>
                <c:ptCount val="1"/>
                <c:pt idx="0">
                  <c:v>średni nakład w egz.</c:v>
                </c:pt>
              </c:strCache>
            </c:strRef>
          </c:tx>
          <c:marker>
            <c:symbol val="none"/>
          </c:marker>
          <c:cat>
            <c:numRef>
              <c:f>'Rynek wydawniczy'!$D$4:$J$4</c:f>
              <c:numCache>
                <c:formatCode>General</c:formatCode>
                <c:ptCount val="7"/>
                <c:pt idx="0">
                  <c:v>1990</c:v>
                </c:pt>
                <c:pt idx="1">
                  <c:v>1995</c:v>
                </c:pt>
                <c:pt idx="2">
                  <c:v>2000</c:v>
                </c:pt>
                <c:pt idx="3">
                  <c:v>2005</c:v>
                </c:pt>
                <c:pt idx="4">
                  <c:v>2010</c:v>
                </c:pt>
                <c:pt idx="5">
                  <c:v>2011</c:v>
                </c:pt>
                <c:pt idx="6">
                  <c:v>2012</c:v>
                </c:pt>
              </c:numCache>
            </c:numRef>
          </c:cat>
          <c:val>
            <c:numRef>
              <c:f>'Rynek wydawniczy'!$D$36:$J$36</c:f>
              <c:numCache>
                <c:formatCode>General</c:formatCode>
                <c:ptCount val="7"/>
                <c:pt idx="2" formatCode="#,##0">
                  <c:v>6167.3151750973102</c:v>
                </c:pt>
                <c:pt idx="3" formatCode="#,##0">
                  <c:v>6882.2957198443282</c:v>
                </c:pt>
                <c:pt idx="4" formatCode="#,##0">
                  <c:v>5709.5980311731228</c:v>
                </c:pt>
                <c:pt idx="5" formatCode="#,##0">
                  <c:v>4911.7174959871263</c:v>
                </c:pt>
                <c:pt idx="6" formatCode="#,##0">
                  <c:v>3987.4353288987472</c:v>
                </c:pt>
              </c:numCache>
            </c:numRef>
          </c:val>
          <c:smooth val="0"/>
        </c:ser>
        <c:dLbls>
          <c:showLegendKey val="0"/>
          <c:showVal val="0"/>
          <c:showCatName val="0"/>
          <c:showSerName val="0"/>
          <c:showPercent val="0"/>
          <c:showBubbleSize val="0"/>
        </c:dLbls>
        <c:marker val="1"/>
        <c:smooth val="0"/>
        <c:axId val="126891904"/>
        <c:axId val="126893440"/>
      </c:lineChart>
      <c:lineChart>
        <c:grouping val="standard"/>
        <c:varyColors val="0"/>
        <c:ser>
          <c:idx val="1"/>
          <c:order val="1"/>
          <c:tx>
            <c:strRef>
              <c:f>'Rynek wydawniczy'!$C$35</c:f>
              <c:strCache>
                <c:ptCount val="1"/>
                <c:pt idx="0">
                  <c:v>nakłady mln egz.</c:v>
                </c:pt>
              </c:strCache>
            </c:strRef>
          </c:tx>
          <c:cat>
            <c:numRef>
              <c:f>'Rynek wydawniczy'!$D$4:$J$4</c:f>
              <c:numCache>
                <c:formatCode>General</c:formatCode>
                <c:ptCount val="7"/>
                <c:pt idx="0">
                  <c:v>1990</c:v>
                </c:pt>
                <c:pt idx="1">
                  <c:v>1995</c:v>
                </c:pt>
                <c:pt idx="2">
                  <c:v>2000</c:v>
                </c:pt>
                <c:pt idx="3">
                  <c:v>2005</c:v>
                </c:pt>
                <c:pt idx="4">
                  <c:v>2010</c:v>
                </c:pt>
                <c:pt idx="5">
                  <c:v>2011</c:v>
                </c:pt>
                <c:pt idx="6">
                  <c:v>2012</c:v>
                </c:pt>
              </c:numCache>
            </c:numRef>
          </c:cat>
          <c:val>
            <c:numRef>
              <c:f>'Rynek wydawniczy'!$D$35:$J$35</c:f>
              <c:numCache>
                <c:formatCode>General</c:formatCode>
                <c:ptCount val="7"/>
                <c:pt idx="2" formatCode="#,##0.0">
                  <c:v>158.5</c:v>
                </c:pt>
                <c:pt idx="3" formatCode="#,##0.0">
                  <c:v>141.5</c:v>
                </c:pt>
                <c:pt idx="4" formatCode="#,##0.0">
                  <c:v>139.19999999999999</c:v>
                </c:pt>
                <c:pt idx="5" formatCode="#,##0.0">
                  <c:v>122.4</c:v>
                </c:pt>
                <c:pt idx="6" formatCode="#,##0.0">
                  <c:v>107.9</c:v>
                </c:pt>
              </c:numCache>
            </c:numRef>
          </c:val>
          <c:smooth val="0"/>
        </c:ser>
        <c:dLbls>
          <c:showLegendKey val="0"/>
          <c:showVal val="0"/>
          <c:showCatName val="0"/>
          <c:showSerName val="0"/>
          <c:showPercent val="0"/>
          <c:showBubbleSize val="0"/>
        </c:dLbls>
        <c:marker val="1"/>
        <c:smooth val="0"/>
        <c:axId val="138435200"/>
        <c:axId val="138433664"/>
      </c:lineChart>
      <c:catAx>
        <c:axId val="126891904"/>
        <c:scaling>
          <c:orientation val="minMax"/>
        </c:scaling>
        <c:delete val="0"/>
        <c:axPos val="b"/>
        <c:numFmt formatCode="General" sourceLinked="1"/>
        <c:majorTickMark val="out"/>
        <c:minorTickMark val="none"/>
        <c:tickLblPos val="nextTo"/>
        <c:crossAx val="126893440"/>
        <c:crosses val="autoZero"/>
        <c:auto val="1"/>
        <c:lblAlgn val="ctr"/>
        <c:lblOffset val="100"/>
        <c:noMultiLvlLbl val="0"/>
      </c:catAx>
      <c:valAx>
        <c:axId val="126893440"/>
        <c:scaling>
          <c:orientation val="minMax"/>
        </c:scaling>
        <c:delete val="0"/>
        <c:axPos val="l"/>
        <c:majorGridlines/>
        <c:numFmt formatCode="General" sourceLinked="1"/>
        <c:majorTickMark val="out"/>
        <c:minorTickMark val="none"/>
        <c:tickLblPos val="nextTo"/>
        <c:crossAx val="126891904"/>
        <c:crosses val="autoZero"/>
        <c:crossBetween val="between"/>
      </c:valAx>
      <c:valAx>
        <c:axId val="138433664"/>
        <c:scaling>
          <c:orientation val="minMax"/>
        </c:scaling>
        <c:delete val="0"/>
        <c:axPos val="r"/>
        <c:numFmt formatCode="General" sourceLinked="1"/>
        <c:majorTickMark val="out"/>
        <c:minorTickMark val="none"/>
        <c:tickLblPos val="nextTo"/>
        <c:crossAx val="138435200"/>
        <c:crosses val="max"/>
        <c:crossBetween val="between"/>
      </c:valAx>
      <c:catAx>
        <c:axId val="138435200"/>
        <c:scaling>
          <c:orientation val="minMax"/>
        </c:scaling>
        <c:delete val="1"/>
        <c:axPos val="b"/>
        <c:numFmt formatCode="General" sourceLinked="1"/>
        <c:majorTickMark val="out"/>
        <c:minorTickMark val="none"/>
        <c:tickLblPos val="none"/>
        <c:crossAx val="138433664"/>
        <c:crosses val="autoZero"/>
        <c:auto val="1"/>
        <c:lblAlgn val="ctr"/>
        <c:lblOffset val="100"/>
        <c:noMultiLvlLbl val="0"/>
      </c:catAx>
    </c:plotArea>
    <c:legend>
      <c:legendPos val="b"/>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49022617660463"/>
          <c:y val="5.1400554097404488E-2"/>
          <c:w val="0.6900535357268065"/>
          <c:h val="0.73966487632755529"/>
        </c:manualLayout>
      </c:layout>
      <c:barChart>
        <c:barDir val="col"/>
        <c:grouping val="clustered"/>
        <c:varyColors val="0"/>
        <c:ser>
          <c:idx val="0"/>
          <c:order val="0"/>
          <c:tx>
            <c:strRef>
              <c:f>'Ranyek wydawniczy'!$C$63</c:f>
              <c:strCache>
                <c:ptCount val="1"/>
                <c:pt idx="0">
                  <c:v>tytuły</c:v>
                </c:pt>
              </c:strCache>
            </c:strRef>
          </c:tx>
          <c:invertIfNegative val="0"/>
          <c:dLbls>
            <c:showLegendKey val="0"/>
            <c:showVal val="1"/>
            <c:showCatName val="0"/>
            <c:showSerName val="0"/>
            <c:showPercent val="0"/>
            <c:showBubbleSize val="0"/>
            <c:showLeaderLines val="0"/>
          </c:dLbls>
          <c:cat>
            <c:numRef>
              <c:f>'Ranyek wydawniczy'!$D$61:$J$61</c:f>
              <c:numCache>
                <c:formatCode>General</c:formatCode>
                <c:ptCount val="7"/>
                <c:pt idx="0">
                  <c:v>1990</c:v>
                </c:pt>
                <c:pt idx="1">
                  <c:v>1995</c:v>
                </c:pt>
                <c:pt idx="2">
                  <c:v>2000</c:v>
                </c:pt>
                <c:pt idx="3">
                  <c:v>2005</c:v>
                </c:pt>
                <c:pt idx="4">
                  <c:v>2010</c:v>
                </c:pt>
                <c:pt idx="5">
                  <c:v>2011</c:v>
                </c:pt>
                <c:pt idx="6">
                  <c:v>2012</c:v>
                </c:pt>
              </c:numCache>
            </c:numRef>
          </c:cat>
          <c:val>
            <c:numRef>
              <c:f>'Ranyek wydawniczy'!$D$63:$J$63</c:f>
              <c:numCache>
                <c:formatCode>#,##0</c:formatCode>
                <c:ptCount val="7"/>
                <c:pt idx="0">
                  <c:v>10586</c:v>
                </c:pt>
                <c:pt idx="1">
                  <c:v>12141</c:v>
                </c:pt>
                <c:pt idx="2">
                  <c:v>22298</c:v>
                </c:pt>
                <c:pt idx="3">
                  <c:v>19999</c:v>
                </c:pt>
                <c:pt idx="4">
                  <c:v>29539</c:v>
                </c:pt>
                <c:pt idx="5">
                  <c:v>31515</c:v>
                </c:pt>
                <c:pt idx="6">
                  <c:v>34147</c:v>
                </c:pt>
              </c:numCache>
            </c:numRef>
          </c:val>
        </c:ser>
        <c:dLbls>
          <c:showLegendKey val="0"/>
          <c:showVal val="0"/>
          <c:showCatName val="0"/>
          <c:showSerName val="0"/>
          <c:showPercent val="0"/>
          <c:showBubbleSize val="0"/>
        </c:dLbls>
        <c:gapWidth val="150"/>
        <c:axId val="141490816"/>
        <c:axId val="138609024"/>
      </c:barChart>
      <c:lineChart>
        <c:grouping val="standard"/>
        <c:varyColors val="0"/>
        <c:ser>
          <c:idx val="2"/>
          <c:order val="2"/>
          <c:tx>
            <c:strRef>
              <c:f>'Ranyek wydawniczy'!$C$65</c:f>
              <c:strCache>
                <c:ptCount val="1"/>
                <c:pt idx="0">
                  <c:v>średni nakład w egz.</c:v>
                </c:pt>
              </c:strCache>
            </c:strRef>
          </c:tx>
          <c:marker>
            <c:symbol val="none"/>
          </c:marker>
          <c:val>
            <c:numRef>
              <c:f>'Ranyek wydawniczy'!$D$65:$J$65</c:f>
              <c:numCache>
                <c:formatCode>#,##0</c:formatCode>
                <c:ptCount val="7"/>
                <c:pt idx="0">
                  <c:v>16873.606650292841</c:v>
                </c:pt>
                <c:pt idx="1">
                  <c:v>9706.7786837986205</c:v>
                </c:pt>
                <c:pt idx="2">
                  <c:v>4822.5849852004667</c:v>
                </c:pt>
                <c:pt idx="3">
                  <c:v>4050.5025251262537</c:v>
                </c:pt>
                <c:pt idx="4">
                  <c:v>2821.9641829445995</c:v>
                </c:pt>
                <c:pt idx="5">
                  <c:v>2974.6787244169268</c:v>
                </c:pt>
                <c:pt idx="6">
                  <c:v>2328.5793773977216</c:v>
                </c:pt>
              </c:numCache>
            </c:numRef>
          </c:val>
          <c:smooth val="0"/>
        </c:ser>
        <c:dLbls>
          <c:showLegendKey val="0"/>
          <c:showVal val="0"/>
          <c:showCatName val="0"/>
          <c:showSerName val="0"/>
          <c:showPercent val="0"/>
          <c:showBubbleSize val="0"/>
        </c:dLbls>
        <c:marker val="1"/>
        <c:smooth val="0"/>
        <c:axId val="141490816"/>
        <c:axId val="138609024"/>
      </c:lineChart>
      <c:lineChart>
        <c:grouping val="standard"/>
        <c:varyColors val="0"/>
        <c:ser>
          <c:idx val="1"/>
          <c:order val="1"/>
          <c:tx>
            <c:strRef>
              <c:f>'Ranyek wydawniczy'!$C$64</c:f>
              <c:strCache>
                <c:ptCount val="1"/>
                <c:pt idx="0">
                  <c:v>nakłady w mln egz.</c:v>
                </c:pt>
              </c:strCache>
            </c:strRef>
          </c:tx>
          <c:val>
            <c:numRef>
              <c:f>'Ranyek wydawniczy'!$D$64:$J$64</c:f>
              <c:numCache>
                <c:formatCode>#,##0.0</c:formatCode>
                <c:ptCount val="7"/>
                <c:pt idx="0">
                  <c:v>178.624</c:v>
                </c:pt>
                <c:pt idx="1">
                  <c:v>117.85</c:v>
                </c:pt>
                <c:pt idx="2">
                  <c:v>107.53400000000002</c:v>
                </c:pt>
                <c:pt idx="3">
                  <c:v>81.006</c:v>
                </c:pt>
                <c:pt idx="4">
                  <c:v>83.35799999999999</c:v>
                </c:pt>
                <c:pt idx="5">
                  <c:v>93.747000000000227</c:v>
                </c:pt>
                <c:pt idx="6">
                  <c:v>79.513999999999996</c:v>
                </c:pt>
              </c:numCache>
            </c:numRef>
          </c:val>
          <c:smooth val="0"/>
        </c:ser>
        <c:dLbls>
          <c:showLegendKey val="0"/>
          <c:showVal val="0"/>
          <c:showCatName val="0"/>
          <c:showSerName val="0"/>
          <c:showPercent val="0"/>
          <c:showBubbleSize val="0"/>
        </c:dLbls>
        <c:marker val="1"/>
        <c:smooth val="0"/>
        <c:axId val="138612096"/>
        <c:axId val="138610560"/>
      </c:lineChart>
      <c:catAx>
        <c:axId val="141490816"/>
        <c:scaling>
          <c:orientation val="minMax"/>
        </c:scaling>
        <c:delete val="0"/>
        <c:axPos val="b"/>
        <c:numFmt formatCode="General" sourceLinked="1"/>
        <c:majorTickMark val="out"/>
        <c:minorTickMark val="none"/>
        <c:tickLblPos val="nextTo"/>
        <c:crossAx val="138609024"/>
        <c:crosses val="autoZero"/>
        <c:auto val="1"/>
        <c:lblAlgn val="ctr"/>
        <c:lblOffset val="100"/>
        <c:noMultiLvlLbl val="0"/>
      </c:catAx>
      <c:valAx>
        <c:axId val="138609024"/>
        <c:scaling>
          <c:orientation val="minMax"/>
        </c:scaling>
        <c:delete val="0"/>
        <c:axPos val="l"/>
        <c:majorGridlines/>
        <c:numFmt formatCode="#,##0" sourceLinked="1"/>
        <c:majorTickMark val="out"/>
        <c:minorTickMark val="none"/>
        <c:tickLblPos val="nextTo"/>
        <c:crossAx val="141490816"/>
        <c:crosses val="autoZero"/>
        <c:crossBetween val="between"/>
      </c:valAx>
      <c:valAx>
        <c:axId val="138610560"/>
        <c:scaling>
          <c:orientation val="minMax"/>
        </c:scaling>
        <c:delete val="0"/>
        <c:axPos val="r"/>
        <c:numFmt formatCode="#,##0.0" sourceLinked="1"/>
        <c:majorTickMark val="out"/>
        <c:minorTickMark val="none"/>
        <c:tickLblPos val="nextTo"/>
        <c:crossAx val="138612096"/>
        <c:crosses val="max"/>
        <c:crossBetween val="between"/>
      </c:valAx>
      <c:catAx>
        <c:axId val="138612096"/>
        <c:scaling>
          <c:orientation val="minMax"/>
        </c:scaling>
        <c:delete val="1"/>
        <c:axPos val="b"/>
        <c:numFmt formatCode="General" sourceLinked="1"/>
        <c:majorTickMark val="out"/>
        <c:minorTickMark val="none"/>
        <c:tickLblPos val="none"/>
        <c:crossAx val="138610560"/>
        <c:crosses val="autoZero"/>
        <c:auto val="1"/>
        <c:lblAlgn val="ctr"/>
        <c:lblOffset val="100"/>
        <c:noMultiLvlLbl val="0"/>
      </c:catAx>
    </c:plotArea>
    <c:legend>
      <c:legendPos val="b"/>
      <c:layout>
        <c:manualLayout>
          <c:xMode val="edge"/>
          <c:yMode val="edge"/>
          <c:x val="0.12275779760431978"/>
          <c:y val="0.90051881324021776"/>
          <c:w val="0.75448421073059369"/>
          <c:h val="7.3063104466027373E-2"/>
        </c:manualLayout>
      </c:layout>
      <c:overlay val="0"/>
    </c:legend>
    <c:plotVisOnly val="1"/>
    <c:dispBlanksAs val="gap"/>
    <c:showDLblsOverMax val="0"/>
  </c:chart>
  <c:txPr>
    <a:bodyPr/>
    <a:lstStyle/>
    <a:p>
      <a:pPr>
        <a:defRPr baseline="0"/>
      </a:pPr>
      <a:endParaRPr lang="pl-PL"/>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16990218565022"/>
          <c:y val="3.7194360992795744E-2"/>
          <c:w val="0.83716551196866151"/>
          <c:h val="0.70793385391940766"/>
        </c:manualLayout>
      </c:layout>
      <c:bubbleChart>
        <c:varyColors val="0"/>
        <c:ser>
          <c:idx val="0"/>
          <c:order val="0"/>
          <c:tx>
            <c:strRef>
              <c:f>'Grupy strategiczne'!$B$6</c:f>
              <c:strCache>
                <c:ptCount val="1"/>
                <c:pt idx="0">
                  <c:v>beletrystyki</c:v>
                </c:pt>
              </c:strCache>
            </c:strRef>
          </c:tx>
          <c:spPr>
            <a:blipFill>
              <a:blip xmlns:r="http://schemas.openxmlformats.org/officeDocument/2006/relationships" r:embed="rId1"/>
              <a:tile tx="0" ty="0" sx="100000" sy="100000" flip="none" algn="tl"/>
            </a:blipFill>
          </c:spPr>
          <c:invertIfNegative val="0"/>
          <c:xVal>
            <c:numRef>
              <c:f>'Grupy strategiczne'!$C$6</c:f>
              <c:numCache>
                <c:formatCode>#,##0</c:formatCode>
                <c:ptCount val="1"/>
                <c:pt idx="0">
                  <c:v>5223</c:v>
                </c:pt>
              </c:numCache>
            </c:numRef>
          </c:xVal>
          <c:yVal>
            <c:numRef>
              <c:f>'Grupy strategiczne'!$D$6</c:f>
              <c:numCache>
                <c:formatCode>#,##0</c:formatCode>
                <c:ptCount val="1"/>
                <c:pt idx="0">
                  <c:v>345</c:v>
                </c:pt>
              </c:numCache>
            </c:numRef>
          </c:yVal>
          <c:bubbleSize>
            <c:numRef>
              <c:f>'Grupy strategiczne'!$E$6</c:f>
              <c:numCache>
                <c:formatCode>#,##0.0</c:formatCode>
                <c:ptCount val="1"/>
                <c:pt idx="0">
                  <c:v>14.1</c:v>
                </c:pt>
              </c:numCache>
            </c:numRef>
          </c:bubbleSize>
          <c:bubble3D val="0"/>
        </c:ser>
        <c:ser>
          <c:idx val="1"/>
          <c:order val="1"/>
          <c:tx>
            <c:strRef>
              <c:f>'Grupy strategiczne'!$B$7</c:f>
              <c:strCache>
                <c:ptCount val="1"/>
                <c:pt idx="0">
                  <c:v>książek dla dzieci</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w="25400">
              <a:noFill/>
            </a:ln>
          </c:spPr>
          <c:invertIfNegative val="0"/>
          <c:xVal>
            <c:numRef>
              <c:f>'Grupy strategiczne'!$C$7</c:f>
              <c:numCache>
                <c:formatCode>#,##0</c:formatCode>
                <c:ptCount val="1"/>
                <c:pt idx="0">
                  <c:v>2081</c:v>
                </c:pt>
              </c:numCache>
            </c:numRef>
          </c:xVal>
          <c:yVal>
            <c:numRef>
              <c:f>'Grupy strategiczne'!$D$7</c:f>
              <c:numCache>
                <c:formatCode>#,##0</c:formatCode>
                <c:ptCount val="1"/>
                <c:pt idx="0">
                  <c:v>205</c:v>
                </c:pt>
              </c:numCache>
            </c:numRef>
          </c:yVal>
          <c:bubbleSize>
            <c:numRef>
              <c:f>'Grupy strategiczne'!$E$7</c:f>
              <c:numCache>
                <c:formatCode>#,##0.0</c:formatCode>
                <c:ptCount val="1"/>
                <c:pt idx="0">
                  <c:v>8.7000000000000011</c:v>
                </c:pt>
              </c:numCache>
            </c:numRef>
          </c:bubbleSize>
          <c:bubble3D val="0"/>
        </c:ser>
        <c:ser>
          <c:idx val="2"/>
          <c:order val="2"/>
          <c:tx>
            <c:strRef>
              <c:f>'Grupy strategiczne'!$B$8</c:f>
              <c:strCache>
                <c:ptCount val="1"/>
                <c:pt idx="0">
                  <c:v>podręczników szkolnych</c:v>
                </c:pt>
              </c:strCache>
            </c:strRef>
          </c:tx>
          <c:spPr>
            <a:ln w="25400">
              <a:noFill/>
            </a:ln>
          </c:spPr>
          <c:invertIfNegative val="0"/>
          <c:xVal>
            <c:numRef>
              <c:f>'Grupy strategiczne'!$C$8</c:f>
              <c:numCache>
                <c:formatCode>#,##0</c:formatCode>
                <c:ptCount val="1"/>
                <c:pt idx="0">
                  <c:v>4890</c:v>
                </c:pt>
              </c:numCache>
            </c:numRef>
          </c:xVal>
          <c:yVal>
            <c:numRef>
              <c:f>'Grupy strategiczne'!$D$8</c:f>
              <c:numCache>
                <c:formatCode>#,##0</c:formatCode>
                <c:ptCount val="1"/>
                <c:pt idx="0">
                  <c:v>840</c:v>
                </c:pt>
              </c:numCache>
            </c:numRef>
          </c:yVal>
          <c:bubbleSize>
            <c:numRef>
              <c:f>'Grupy strategiczne'!$E$8</c:f>
              <c:numCache>
                <c:formatCode>#,##0.0</c:formatCode>
                <c:ptCount val="1"/>
                <c:pt idx="0">
                  <c:v>32.5</c:v>
                </c:pt>
              </c:numCache>
            </c:numRef>
          </c:bubbleSize>
          <c:bubble3D val="0"/>
        </c:ser>
        <c:ser>
          <c:idx val="3"/>
          <c:order val="3"/>
          <c:tx>
            <c:strRef>
              <c:f>'Grupy strategiczne'!$B$9</c:f>
              <c:strCache>
                <c:ptCount val="1"/>
                <c:pt idx="0">
                  <c:v>książek naukowych i fachowych</c:v>
                </c:pt>
              </c:strCache>
            </c:strRef>
          </c:tx>
          <c:spPr>
            <a:ln w="25400">
              <a:noFill/>
            </a:ln>
          </c:spPr>
          <c:invertIfNegative val="0"/>
          <c:xVal>
            <c:numRef>
              <c:f>'Grupy strategiczne'!$C$9</c:f>
              <c:numCache>
                <c:formatCode>#,##0</c:formatCode>
                <c:ptCount val="1"/>
                <c:pt idx="0">
                  <c:v>9255</c:v>
                </c:pt>
              </c:numCache>
            </c:numRef>
          </c:xVal>
          <c:yVal>
            <c:numRef>
              <c:f>'Grupy strategiczne'!$D$9</c:f>
              <c:numCache>
                <c:formatCode>#,##0</c:formatCode>
                <c:ptCount val="1"/>
                <c:pt idx="0">
                  <c:v>975</c:v>
                </c:pt>
              </c:numCache>
            </c:numRef>
          </c:yVal>
          <c:bubbleSize>
            <c:numRef>
              <c:f>'Grupy strategiczne'!$E$9</c:f>
              <c:numCache>
                <c:formatCode>#,##0.0</c:formatCode>
                <c:ptCount val="1"/>
                <c:pt idx="0">
                  <c:v>39.200000000000003</c:v>
                </c:pt>
              </c:numCache>
            </c:numRef>
          </c:bubbleSize>
          <c:bubble3D val="0"/>
        </c:ser>
        <c:ser>
          <c:idx val="4"/>
          <c:order val="4"/>
          <c:tx>
            <c:strRef>
              <c:f>'Grupy strategiczne'!$B$10</c:f>
              <c:strCache>
                <c:ptCount val="1"/>
                <c:pt idx="0">
                  <c:v>wydawnictw religijnych</c:v>
                </c:pt>
              </c:strCache>
            </c:strRef>
          </c:tx>
          <c:spPr>
            <a:blipFill>
              <a:blip xmlns:r="http://schemas.openxmlformats.org/officeDocument/2006/relationships" r:embed="rId2"/>
              <a:tile tx="0" ty="0" sx="100000" sy="100000" flip="none" algn="tl"/>
            </a:blipFill>
            <a:ln w="25400">
              <a:noFill/>
            </a:ln>
          </c:spPr>
          <c:invertIfNegative val="0"/>
          <c:xVal>
            <c:numRef>
              <c:f>'Grupy strategiczne'!$C$10</c:f>
              <c:numCache>
                <c:formatCode>#,##0</c:formatCode>
                <c:ptCount val="1"/>
                <c:pt idx="0">
                  <c:v>2521</c:v>
                </c:pt>
              </c:numCache>
            </c:numRef>
          </c:xVal>
          <c:yVal>
            <c:numRef>
              <c:f>'Grupy strategiczne'!$D$10</c:f>
              <c:numCache>
                <c:formatCode>#,##0</c:formatCode>
                <c:ptCount val="1"/>
                <c:pt idx="0">
                  <c:v>120</c:v>
                </c:pt>
              </c:numCache>
            </c:numRef>
          </c:yVal>
          <c:bubbleSize>
            <c:numRef>
              <c:f>'Grupy strategiczne'!$E$10</c:f>
              <c:numCache>
                <c:formatCode>#,##0.0</c:formatCode>
                <c:ptCount val="1"/>
                <c:pt idx="0">
                  <c:v>5</c:v>
                </c:pt>
              </c:numCache>
            </c:numRef>
          </c:bubbleSize>
          <c:bubble3D val="0"/>
        </c:ser>
        <c:ser>
          <c:idx val="5"/>
          <c:order val="5"/>
          <c:tx>
            <c:strRef>
              <c:f>'Grupy strategiczne'!$B$11</c:f>
              <c:strCache>
                <c:ptCount val="1"/>
                <c:pt idx="0">
                  <c:v>wydawnict albumowych</c:v>
                </c:pt>
              </c:strCache>
            </c:strRef>
          </c:tx>
          <c:spPr>
            <a:noFill/>
            <a:ln w="38100">
              <a:solidFill>
                <a:schemeClr val="tx2">
                  <a:lumMod val="75000"/>
                </a:schemeClr>
              </a:solidFill>
            </a:ln>
          </c:spPr>
          <c:invertIfNegative val="0"/>
          <c:xVal>
            <c:numRef>
              <c:f>'Grupy strategiczne'!$C$11</c:f>
              <c:numCache>
                <c:formatCode>#,##0</c:formatCode>
                <c:ptCount val="1"/>
                <c:pt idx="0">
                  <c:v>2143</c:v>
                </c:pt>
              </c:numCache>
            </c:numRef>
          </c:xVal>
          <c:yVal>
            <c:numRef>
              <c:f>'Grupy strategiczne'!$D$11</c:f>
              <c:numCache>
                <c:formatCode>#,##0</c:formatCode>
                <c:ptCount val="1"/>
                <c:pt idx="0">
                  <c:v>105</c:v>
                </c:pt>
              </c:numCache>
            </c:numRef>
          </c:yVal>
          <c:bubbleSize>
            <c:numRef>
              <c:f>'Grupy strategiczne'!$E$11</c:f>
              <c:numCache>
                <c:formatCode>#,##0.0</c:formatCode>
                <c:ptCount val="1"/>
                <c:pt idx="0">
                  <c:v>4.5999999999999996</c:v>
                </c:pt>
              </c:numCache>
            </c:numRef>
          </c:bubbleSize>
          <c:bubble3D val="0"/>
        </c:ser>
        <c:ser>
          <c:idx val="6"/>
          <c:order val="6"/>
          <c:tx>
            <c:strRef>
              <c:f>'Grupy strategiczne'!$B$12</c:f>
              <c:strCache>
                <c:ptCount val="1"/>
                <c:pt idx="0">
                  <c:v>innych</c:v>
                </c:pt>
              </c:strCache>
            </c:strRef>
          </c:tx>
          <c:spPr>
            <a:solidFill>
              <a:srgbClr val="4F81BD"/>
            </a:solidFill>
            <a:ln w="25400">
              <a:solidFill>
                <a:schemeClr val="tx1"/>
              </a:solidFill>
            </a:ln>
          </c:spPr>
          <c:invertIfNegative val="0"/>
          <c:xVal>
            <c:numRef>
              <c:f>'Grupy strategiczne'!$C$12</c:f>
              <c:numCache>
                <c:formatCode>#,##0</c:formatCode>
                <c:ptCount val="1"/>
                <c:pt idx="0">
                  <c:v>947</c:v>
                </c:pt>
              </c:numCache>
            </c:numRef>
          </c:xVal>
          <c:yVal>
            <c:numRef>
              <c:f>'Grupy strategiczne'!$D$12</c:f>
              <c:numCache>
                <c:formatCode>#,##0</c:formatCode>
                <c:ptCount val="1"/>
                <c:pt idx="0">
                  <c:v>80</c:v>
                </c:pt>
              </c:numCache>
            </c:numRef>
          </c:yVal>
          <c:bubbleSize>
            <c:numRef>
              <c:f>'Grupy strategiczne'!$E$12</c:f>
              <c:numCache>
                <c:formatCode>#,##0.0</c:formatCode>
                <c:ptCount val="1"/>
                <c:pt idx="0">
                  <c:v>3.8</c:v>
                </c:pt>
              </c:numCache>
            </c:numRef>
          </c:bubbleSize>
          <c:bubble3D val="0"/>
        </c:ser>
        <c:dLbls>
          <c:showLegendKey val="0"/>
          <c:showVal val="0"/>
          <c:showCatName val="0"/>
          <c:showSerName val="0"/>
          <c:showPercent val="0"/>
          <c:showBubbleSize val="0"/>
        </c:dLbls>
        <c:bubbleScale val="250"/>
        <c:showNegBubbles val="0"/>
        <c:axId val="138651136"/>
        <c:axId val="138653056"/>
      </c:bubbleChart>
      <c:valAx>
        <c:axId val="138651136"/>
        <c:scaling>
          <c:orientation val="minMax"/>
          <c:max val="12000"/>
          <c:min val="0"/>
        </c:scaling>
        <c:delete val="0"/>
        <c:axPos val="b"/>
        <c:title>
          <c:tx>
            <c:rich>
              <a:bodyPr/>
              <a:lstStyle/>
              <a:p>
                <a:pPr>
                  <a:defRPr/>
                </a:pPr>
                <a:r>
                  <a:rPr lang="pl-PL"/>
                  <a:t>liczba</a:t>
                </a:r>
                <a:r>
                  <a:rPr lang="pl-PL" baseline="0"/>
                  <a:t> </a:t>
                </a:r>
                <a:r>
                  <a:rPr lang="pl-PL"/>
                  <a:t>tytułów</a:t>
                </a:r>
                <a:endParaRPr lang="en-US"/>
              </a:p>
            </c:rich>
          </c:tx>
          <c:layout>
            <c:manualLayout>
              <c:xMode val="edge"/>
              <c:yMode val="edge"/>
              <c:x val="0.86361078097424659"/>
              <c:y val="0.84039707864795554"/>
            </c:manualLayout>
          </c:layout>
          <c:overlay val="0"/>
        </c:title>
        <c:numFmt formatCode="#,##0" sourceLinked="1"/>
        <c:majorTickMark val="none"/>
        <c:minorTickMark val="none"/>
        <c:tickLblPos val="nextTo"/>
        <c:crossAx val="138653056"/>
        <c:crosses val="autoZero"/>
        <c:crossBetween val="midCat"/>
      </c:valAx>
      <c:valAx>
        <c:axId val="138653056"/>
        <c:scaling>
          <c:orientation val="minMax"/>
          <c:min val="0"/>
        </c:scaling>
        <c:delete val="0"/>
        <c:axPos val="l"/>
        <c:majorGridlines/>
        <c:title>
          <c:tx>
            <c:rich>
              <a:bodyPr/>
              <a:lstStyle/>
              <a:p>
                <a:pPr>
                  <a:defRPr/>
                </a:pPr>
                <a:r>
                  <a:rPr lang="pl-PL" b="1"/>
                  <a:t>sprzedaż [mln zł]</a:t>
                </a:r>
              </a:p>
            </c:rich>
          </c:tx>
          <c:layout>
            <c:manualLayout>
              <c:xMode val="edge"/>
              <c:yMode val="edge"/>
              <c:x val="8.6326715328797566E-5"/>
              <c:y val="0.18693624121856614"/>
            </c:manualLayout>
          </c:layout>
          <c:overlay val="0"/>
        </c:title>
        <c:numFmt formatCode="#,##0" sourceLinked="1"/>
        <c:majorTickMark val="none"/>
        <c:minorTickMark val="none"/>
        <c:tickLblPos val="nextTo"/>
        <c:crossAx val="138651136"/>
        <c:crosses val="autoZero"/>
        <c:crossBetween val="midCat"/>
      </c:valAx>
      <c:spPr>
        <a:ln>
          <a:noFill/>
        </a:ln>
      </c:spPr>
    </c:plotArea>
    <c:legend>
      <c:legendPos val="b"/>
      <c:layout>
        <c:manualLayout>
          <c:xMode val="edge"/>
          <c:yMode val="edge"/>
          <c:x val="1.4213189414048489E-2"/>
          <c:y val="0.87268977817698845"/>
          <c:w val="0.96282221258011014"/>
          <c:h val="0.12620333501346331"/>
        </c:manualLayout>
      </c:layout>
      <c:overlay val="0"/>
      <c:txPr>
        <a:bodyPr/>
        <a:lstStyle/>
        <a:p>
          <a:pPr>
            <a:defRPr sz="1100"/>
          </a:pPr>
          <a:endParaRPr lang="pl-PL"/>
        </a:p>
      </c:txPr>
    </c:legend>
    <c:plotVisOnly val="1"/>
    <c:dispBlanksAs val="gap"/>
    <c:showDLblsOverMax val="0"/>
  </c:chart>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98746811578141"/>
          <c:y val="3.6641916197530211E-2"/>
          <c:w val="0.81667916158367992"/>
          <c:h val="0.66227021127310393"/>
        </c:manualLayout>
      </c:layout>
      <c:bubbleChart>
        <c:varyColors val="0"/>
        <c:ser>
          <c:idx val="0"/>
          <c:order val="0"/>
          <c:tx>
            <c:strRef>
              <c:f>'Grupy strategiczne'!$B$47</c:f>
              <c:strCache>
                <c:ptCount val="1"/>
                <c:pt idx="0">
                  <c:v>beletrystyki</c:v>
                </c:pt>
              </c:strCache>
            </c:strRef>
          </c:tx>
          <c:spPr>
            <a:blipFill>
              <a:blip xmlns:r="http://schemas.openxmlformats.org/officeDocument/2006/relationships" r:embed="rId1"/>
              <a:tile tx="0" ty="0" sx="100000" sy="100000" flip="none" algn="tl"/>
            </a:blipFill>
          </c:spPr>
          <c:invertIfNegative val="0"/>
          <c:xVal>
            <c:numRef>
              <c:f>'Grupy strategiczne'!$C$47</c:f>
              <c:numCache>
                <c:formatCode>#,##0</c:formatCode>
                <c:ptCount val="1"/>
                <c:pt idx="0">
                  <c:v>2680</c:v>
                </c:pt>
              </c:numCache>
            </c:numRef>
          </c:xVal>
          <c:yVal>
            <c:numRef>
              <c:f>'Grupy strategiczne'!$D$47</c:f>
              <c:numCache>
                <c:formatCode>#,##0</c:formatCode>
                <c:ptCount val="1"/>
                <c:pt idx="0">
                  <c:v>345</c:v>
                </c:pt>
              </c:numCache>
            </c:numRef>
          </c:yVal>
          <c:bubbleSize>
            <c:numRef>
              <c:f>'Grupy strategiczne'!$E$47</c:f>
              <c:numCache>
                <c:formatCode>#,##0.0</c:formatCode>
                <c:ptCount val="1"/>
                <c:pt idx="0">
                  <c:v>14.1</c:v>
                </c:pt>
              </c:numCache>
            </c:numRef>
          </c:bubbleSize>
          <c:bubble3D val="0"/>
        </c:ser>
        <c:ser>
          <c:idx val="1"/>
          <c:order val="1"/>
          <c:tx>
            <c:strRef>
              <c:f>'Grupy strategiczne'!$B$48</c:f>
              <c:strCache>
                <c:ptCount val="1"/>
                <c:pt idx="0">
                  <c:v>książek dla dzieci</c:v>
                </c:pt>
              </c:strCache>
            </c:strRef>
          </c:tx>
          <c:spPr>
            <a:blipFill>
              <a:blip xmlns:r="http://schemas.openxmlformats.org/officeDocument/2006/relationships" r:embed="rId2"/>
              <a:tile tx="0" ty="0" sx="100000" sy="100000" flip="none" algn="tl"/>
            </a:blipFill>
            <a:ln w="25400">
              <a:noFill/>
            </a:ln>
          </c:spPr>
          <c:invertIfNegative val="0"/>
          <c:xVal>
            <c:numRef>
              <c:f>'Grupy strategiczne'!$C$48</c:f>
              <c:numCache>
                <c:formatCode>#,##0</c:formatCode>
                <c:ptCount val="1"/>
                <c:pt idx="0">
                  <c:v>3495</c:v>
                </c:pt>
              </c:numCache>
            </c:numRef>
          </c:xVal>
          <c:yVal>
            <c:numRef>
              <c:f>'Grupy strategiczne'!$D$48</c:f>
              <c:numCache>
                <c:formatCode>#,##0</c:formatCode>
                <c:ptCount val="1"/>
                <c:pt idx="0">
                  <c:v>205</c:v>
                </c:pt>
              </c:numCache>
            </c:numRef>
          </c:yVal>
          <c:bubbleSize>
            <c:numRef>
              <c:f>'Grupy strategiczne'!$E$48</c:f>
              <c:numCache>
                <c:formatCode>#,##0.0</c:formatCode>
                <c:ptCount val="1"/>
                <c:pt idx="0">
                  <c:v>8.7000000000000011</c:v>
                </c:pt>
              </c:numCache>
            </c:numRef>
          </c:bubbleSize>
          <c:bubble3D val="0"/>
        </c:ser>
        <c:ser>
          <c:idx val="2"/>
          <c:order val="2"/>
          <c:tx>
            <c:strRef>
              <c:f>'Grupy strategiczne'!$B$49</c:f>
              <c:strCache>
                <c:ptCount val="1"/>
                <c:pt idx="0">
                  <c:v>podręczników szkolnych</c:v>
                </c:pt>
              </c:strCache>
            </c:strRef>
          </c:tx>
          <c:spPr>
            <a:ln w="25400">
              <a:noFill/>
            </a:ln>
          </c:spPr>
          <c:invertIfNegative val="0"/>
          <c:xVal>
            <c:numRef>
              <c:f>'Grupy strategiczne'!$C$49</c:f>
              <c:numCache>
                <c:formatCode>#,##0</c:formatCode>
                <c:ptCount val="1"/>
                <c:pt idx="0">
                  <c:v>9673</c:v>
                </c:pt>
              </c:numCache>
            </c:numRef>
          </c:xVal>
          <c:yVal>
            <c:numRef>
              <c:f>'Grupy strategiczne'!$D$49</c:f>
              <c:numCache>
                <c:formatCode>#,##0</c:formatCode>
                <c:ptCount val="1"/>
                <c:pt idx="0">
                  <c:v>840</c:v>
                </c:pt>
              </c:numCache>
            </c:numRef>
          </c:yVal>
          <c:bubbleSize>
            <c:numRef>
              <c:f>'Grupy strategiczne'!$E$49</c:f>
              <c:numCache>
                <c:formatCode>#,##0.0</c:formatCode>
                <c:ptCount val="1"/>
                <c:pt idx="0">
                  <c:v>32.5</c:v>
                </c:pt>
              </c:numCache>
            </c:numRef>
          </c:bubbleSize>
          <c:bubble3D val="0"/>
        </c:ser>
        <c:ser>
          <c:idx val="3"/>
          <c:order val="3"/>
          <c:tx>
            <c:strRef>
              <c:f>'Grupy strategiczne'!$B$50</c:f>
              <c:strCache>
                <c:ptCount val="1"/>
                <c:pt idx="0">
                  <c:v>książek naukowych i fachowych</c:v>
                </c:pt>
              </c:strCache>
            </c:strRef>
          </c:tx>
          <c:spPr>
            <a:ln w="25400">
              <a:noFill/>
            </a:ln>
          </c:spPr>
          <c:invertIfNegative val="0"/>
          <c:xVal>
            <c:numRef>
              <c:f>'Grupy strategiczne'!$C$50</c:f>
              <c:numCache>
                <c:formatCode>#,##0</c:formatCode>
                <c:ptCount val="1"/>
                <c:pt idx="0">
                  <c:v>2097</c:v>
                </c:pt>
              </c:numCache>
            </c:numRef>
          </c:xVal>
          <c:yVal>
            <c:numRef>
              <c:f>'Grupy strategiczne'!$D$50</c:f>
              <c:numCache>
                <c:formatCode>#,##0</c:formatCode>
                <c:ptCount val="1"/>
                <c:pt idx="0">
                  <c:v>975</c:v>
                </c:pt>
              </c:numCache>
            </c:numRef>
          </c:yVal>
          <c:bubbleSize>
            <c:numRef>
              <c:f>'Grupy strategiczne'!$E$50</c:f>
              <c:numCache>
                <c:formatCode>#,##0.0</c:formatCode>
                <c:ptCount val="1"/>
                <c:pt idx="0">
                  <c:v>39.200000000000003</c:v>
                </c:pt>
              </c:numCache>
            </c:numRef>
          </c:bubbleSize>
          <c:bubble3D val="0"/>
        </c:ser>
        <c:ser>
          <c:idx val="4"/>
          <c:order val="4"/>
          <c:tx>
            <c:strRef>
              <c:f>'Grupy strategiczne'!$B$51</c:f>
              <c:strCache>
                <c:ptCount val="1"/>
                <c:pt idx="0">
                  <c:v>wydawnictw religijnych</c:v>
                </c:pt>
              </c:strCache>
            </c:strRef>
          </c:tx>
          <c:spPr>
            <a:blipFill>
              <a:blip xmlns:r="http://schemas.openxmlformats.org/officeDocument/2006/relationships" r:embed="rId3"/>
              <a:tile tx="0" ty="0" sx="100000" sy="100000" flip="none" algn="tl"/>
            </a:blipFill>
            <a:ln w="25400">
              <a:noFill/>
            </a:ln>
          </c:spPr>
          <c:invertIfNegative val="0"/>
          <c:xVal>
            <c:numRef>
              <c:f>'Grupy strategiczne'!$C$51</c:f>
              <c:numCache>
                <c:formatCode>#,##0</c:formatCode>
                <c:ptCount val="1"/>
                <c:pt idx="0">
                  <c:v>2245</c:v>
                </c:pt>
              </c:numCache>
            </c:numRef>
          </c:xVal>
          <c:yVal>
            <c:numRef>
              <c:f>'Grupy strategiczne'!$D$51</c:f>
              <c:numCache>
                <c:formatCode>#,##0</c:formatCode>
                <c:ptCount val="1"/>
                <c:pt idx="0">
                  <c:v>120</c:v>
                </c:pt>
              </c:numCache>
            </c:numRef>
          </c:yVal>
          <c:bubbleSize>
            <c:numRef>
              <c:f>'Grupy strategiczne'!$E$51</c:f>
              <c:numCache>
                <c:formatCode>#,##0.0</c:formatCode>
                <c:ptCount val="1"/>
                <c:pt idx="0">
                  <c:v>5</c:v>
                </c:pt>
              </c:numCache>
            </c:numRef>
          </c:bubbleSize>
          <c:bubble3D val="0"/>
        </c:ser>
        <c:ser>
          <c:idx val="5"/>
          <c:order val="5"/>
          <c:tx>
            <c:strRef>
              <c:f>'Grupy strategiczne'!$B$52</c:f>
              <c:strCache>
                <c:ptCount val="1"/>
                <c:pt idx="0">
                  <c:v>wydawnict albumowych</c:v>
                </c:pt>
              </c:strCache>
            </c:strRef>
          </c:tx>
          <c:spPr>
            <a:noFill/>
            <a:ln w="28575">
              <a:solidFill>
                <a:schemeClr val="tx2">
                  <a:lumMod val="75000"/>
                </a:schemeClr>
              </a:solidFill>
            </a:ln>
          </c:spPr>
          <c:invertIfNegative val="0"/>
          <c:xVal>
            <c:numRef>
              <c:f>'Grupy strategiczne'!$C$52</c:f>
              <c:numCache>
                <c:formatCode>#,##0</c:formatCode>
                <c:ptCount val="1"/>
                <c:pt idx="0">
                  <c:v>2706</c:v>
                </c:pt>
              </c:numCache>
            </c:numRef>
          </c:xVal>
          <c:yVal>
            <c:numRef>
              <c:f>'Grupy strategiczne'!$D$52</c:f>
              <c:numCache>
                <c:formatCode>#,##0</c:formatCode>
                <c:ptCount val="1"/>
                <c:pt idx="0">
                  <c:v>105</c:v>
                </c:pt>
              </c:numCache>
            </c:numRef>
          </c:yVal>
          <c:bubbleSize>
            <c:numRef>
              <c:f>'Grupy strategiczne'!$E$52</c:f>
              <c:numCache>
                <c:formatCode>#,##0.0</c:formatCode>
                <c:ptCount val="1"/>
                <c:pt idx="0">
                  <c:v>4.5999999999999996</c:v>
                </c:pt>
              </c:numCache>
            </c:numRef>
          </c:bubbleSize>
          <c:bubble3D val="0"/>
        </c:ser>
        <c:ser>
          <c:idx val="6"/>
          <c:order val="6"/>
          <c:tx>
            <c:strRef>
              <c:f>'Grupy strategiczne'!$B$53</c:f>
              <c:strCache>
                <c:ptCount val="1"/>
                <c:pt idx="0">
                  <c:v>innych</c:v>
                </c:pt>
              </c:strCache>
            </c:strRef>
          </c:tx>
          <c:spPr>
            <a:ln w="25400">
              <a:solidFill>
                <a:schemeClr val="tx1"/>
              </a:solidFill>
            </a:ln>
          </c:spPr>
          <c:invertIfNegative val="0"/>
          <c:xVal>
            <c:numRef>
              <c:f>'Grupy strategiczne'!$C$53</c:f>
              <c:numCache>
                <c:formatCode>#,##0</c:formatCode>
                <c:ptCount val="1"/>
                <c:pt idx="0">
                  <c:v>4012</c:v>
                </c:pt>
              </c:numCache>
            </c:numRef>
          </c:xVal>
          <c:yVal>
            <c:numRef>
              <c:f>'Grupy strategiczne'!$D$53</c:f>
              <c:numCache>
                <c:formatCode>#,##0</c:formatCode>
                <c:ptCount val="1"/>
                <c:pt idx="0">
                  <c:v>80</c:v>
                </c:pt>
              </c:numCache>
            </c:numRef>
          </c:yVal>
          <c:bubbleSize>
            <c:numRef>
              <c:f>'Grupy strategiczne'!$E$53</c:f>
              <c:numCache>
                <c:formatCode>#,##0.0</c:formatCode>
                <c:ptCount val="1"/>
                <c:pt idx="0">
                  <c:v>3.8</c:v>
                </c:pt>
              </c:numCache>
            </c:numRef>
          </c:bubbleSize>
          <c:bubble3D val="0"/>
        </c:ser>
        <c:dLbls>
          <c:showLegendKey val="0"/>
          <c:showVal val="0"/>
          <c:showCatName val="0"/>
          <c:showSerName val="0"/>
          <c:showPercent val="0"/>
          <c:showBubbleSize val="0"/>
        </c:dLbls>
        <c:bubbleScale val="250"/>
        <c:showNegBubbles val="0"/>
        <c:axId val="139350784"/>
        <c:axId val="139352320"/>
      </c:bubbleChart>
      <c:valAx>
        <c:axId val="139350784"/>
        <c:scaling>
          <c:orientation val="minMax"/>
          <c:max val="14000"/>
          <c:min val="0"/>
        </c:scaling>
        <c:delete val="0"/>
        <c:axPos val="b"/>
        <c:numFmt formatCode="#,##0" sourceLinked="1"/>
        <c:majorTickMark val="out"/>
        <c:minorTickMark val="none"/>
        <c:tickLblPos val="nextTo"/>
        <c:crossAx val="139352320"/>
        <c:crosses val="autoZero"/>
        <c:crossBetween val="midCat"/>
      </c:valAx>
      <c:valAx>
        <c:axId val="139352320"/>
        <c:scaling>
          <c:orientation val="minMax"/>
          <c:max val="1400"/>
          <c:min val="0"/>
        </c:scaling>
        <c:delete val="0"/>
        <c:axPos val="l"/>
        <c:majorGridlines/>
        <c:numFmt formatCode="#,##0" sourceLinked="1"/>
        <c:majorTickMark val="out"/>
        <c:minorTickMark val="none"/>
        <c:tickLblPos val="nextTo"/>
        <c:crossAx val="139350784"/>
        <c:crosses val="autoZero"/>
        <c:crossBetween val="midCat"/>
      </c:valAx>
    </c:plotArea>
    <c:legend>
      <c:legendPos val="b"/>
      <c:layout>
        <c:manualLayout>
          <c:xMode val="edge"/>
          <c:yMode val="edge"/>
          <c:x val="8.9601453701388164E-3"/>
          <c:y val="0.85757921868407083"/>
          <c:w val="0.98978882736963014"/>
          <c:h val="0.12768108156656341"/>
        </c:manualLayout>
      </c:layout>
      <c:overlay val="0"/>
      <c:txPr>
        <a:bodyPr/>
        <a:lstStyle/>
        <a:p>
          <a:pPr>
            <a:defRPr sz="1100"/>
          </a:pPr>
          <a:endParaRPr lang="pl-PL"/>
        </a:p>
      </c:txPr>
    </c:legend>
    <c:plotVisOnly val="1"/>
    <c:dispBlanksAs val="gap"/>
    <c:showDLblsOverMax val="0"/>
  </c:chart>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24937481775119"/>
          <c:y val="5.8203574226667096E-2"/>
          <c:w val="0.821887182776602"/>
          <c:h val="0.81046625767884162"/>
        </c:manualLayout>
      </c:layout>
      <c:lineChart>
        <c:grouping val="standard"/>
        <c:varyColors val="0"/>
        <c:ser>
          <c:idx val="0"/>
          <c:order val="0"/>
          <c:tx>
            <c:strRef>
              <c:f>Zatrudnienie!$A$8</c:f>
              <c:strCache>
                <c:ptCount val="1"/>
                <c:pt idx="0">
                  <c:v>Zatrudnienie</c:v>
                </c:pt>
              </c:strCache>
            </c:strRef>
          </c:tx>
          <c:marker>
            <c:symbol val="none"/>
          </c:marker>
          <c:trendline>
            <c:trendlineType val="linear"/>
            <c:dispRSqr val="0"/>
            <c:dispEq val="0"/>
          </c:trendline>
          <c:cat>
            <c:strRef>
              <c:f>Zatrudnienie!$B$6:$L$7</c:f>
              <c:strCache>
                <c:ptCount val="11"/>
                <c:pt idx="0">
                  <c:v>2002</c:v>
                </c:pt>
                <c:pt idx="1">
                  <c:v>2003</c:v>
                </c:pt>
                <c:pt idx="2">
                  <c:v>2004</c:v>
                </c:pt>
                <c:pt idx="3">
                  <c:v>2005</c:v>
                </c:pt>
                <c:pt idx="4">
                  <c:v>2006</c:v>
                </c:pt>
                <c:pt idx="5">
                  <c:v>2007</c:v>
                </c:pt>
                <c:pt idx="6">
                  <c:v>2008</c:v>
                </c:pt>
                <c:pt idx="7">
                  <c:v>2009</c:v>
                </c:pt>
                <c:pt idx="8">
                  <c:v>2010</c:v>
                </c:pt>
                <c:pt idx="9">
                  <c:v>2011</c:v>
                </c:pt>
                <c:pt idx="10">
                  <c:v>2012</c:v>
                </c:pt>
              </c:strCache>
            </c:strRef>
          </c:cat>
          <c:val>
            <c:numRef>
              <c:f>Zatrudnienie!$B$8:$L$8</c:f>
              <c:numCache>
                <c:formatCode>#,##0</c:formatCode>
                <c:ptCount val="11"/>
                <c:pt idx="0">
                  <c:v>5970</c:v>
                </c:pt>
                <c:pt idx="1">
                  <c:v>5910</c:v>
                </c:pt>
                <c:pt idx="2">
                  <c:v>6040</c:v>
                </c:pt>
                <c:pt idx="3">
                  <c:v>6140</c:v>
                </c:pt>
                <c:pt idx="4">
                  <c:v>5770</c:v>
                </c:pt>
                <c:pt idx="5">
                  <c:v>5790</c:v>
                </c:pt>
                <c:pt idx="6">
                  <c:v>5920</c:v>
                </c:pt>
                <c:pt idx="7">
                  <c:v>5880</c:v>
                </c:pt>
                <c:pt idx="8">
                  <c:v>6230</c:v>
                </c:pt>
                <c:pt idx="9">
                  <c:v>5960</c:v>
                </c:pt>
                <c:pt idx="10">
                  <c:v>5680</c:v>
                </c:pt>
              </c:numCache>
            </c:numRef>
          </c:val>
          <c:smooth val="0"/>
        </c:ser>
        <c:dLbls>
          <c:showLegendKey val="0"/>
          <c:showVal val="0"/>
          <c:showCatName val="0"/>
          <c:showSerName val="0"/>
          <c:showPercent val="0"/>
          <c:showBubbleSize val="0"/>
        </c:dLbls>
        <c:marker val="1"/>
        <c:smooth val="0"/>
        <c:axId val="139373952"/>
        <c:axId val="139375744"/>
      </c:lineChart>
      <c:catAx>
        <c:axId val="139373952"/>
        <c:scaling>
          <c:orientation val="minMax"/>
        </c:scaling>
        <c:delete val="0"/>
        <c:axPos val="b"/>
        <c:majorTickMark val="out"/>
        <c:minorTickMark val="none"/>
        <c:tickLblPos val="nextTo"/>
        <c:crossAx val="139375744"/>
        <c:crosses val="autoZero"/>
        <c:auto val="1"/>
        <c:lblAlgn val="ctr"/>
        <c:lblOffset val="100"/>
        <c:noMultiLvlLbl val="0"/>
      </c:catAx>
      <c:valAx>
        <c:axId val="139375744"/>
        <c:scaling>
          <c:orientation val="minMax"/>
        </c:scaling>
        <c:delete val="0"/>
        <c:axPos val="l"/>
        <c:majorGridlines/>
        <c:numFmt formatCode="#,##0" sourceLinked="1"/>
        <c:majorTickMark val="out"/>
        <c:minorTickMark val="none"/>
        <c:tickLblPos val="nextTo"/>
        <c:crossAx val="139373952"/>
        <c:crosses val="autoZero"/>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45476823785427"/>
          <c:y val="6.1395121203571192E-2"/>
          <c:w val="0.67144917194601661"/>
          <c:h val="0.66689874564144491"/>
        </c:manualLayout>
      </c:layout>
      <c:barChart>
        <c:barDir val="col"/>
        <c:grouping val="clustered"/>
        <c:varyColors val="0"/>
        <c:ser>
          <c:idx val="3"/>
          <c:order val="1"/>
          <c:tx>
            <c:strRef>
              <c:f>Zatrudnienie!$A$35</c:f>
              <c:strCache>
                <c:ptCount val="1"/>
                <c:pt idx="0">
                  <c:v>Produkcja w mln egz.</c:v>
                </c:pt>
              </c:strCache>
            </c:strRef>
          </c:tx>
          <c:invertIfNegative val="0"/>
          <c:cat>
            <c:numRef>
              <c:f>Zatrudnienie!$B$32:$L$32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Zatrudnienie!$B$35:$L$35</c:f>
              <c:numCache>
                <c:formatCode>#,##0.0</c:formatCode>
                <c:ptCount val="11"/>
                <c:pt idx="0">
                  <c:v>141.6</c:v>
                </c:pt>
                <c:pt idx="1">
                  <c:v>133.6</c:v>
                </c:pt>
                <c:pt idx="2">
                  <c:v>138.5</c:v>
                </c:pt>
                <c:pt idx="3">
                  <c:v>141.5</c:v>
                </c:pt>
                <c:pt idx="4">
                  <c:v>133.6</c:v>
                </c:pt>
                <c:pt idx="5">
                  <c:v>146.4</c:v>
                </c:pt>
                <c:pt idx="6">
                  <c:v>145.69999999999999</c:v>
                </c:pt>
                <c:pt idx="7">
                  <c:v>144.4</c:v>
                </c:pt>
                <c:pt idx="8">
                  <c:v>139.19999999999999</c:v>
                </c:pt>
                <c:pt idx="9">
                  <c:v>122.4</c:v>
                </c:pt>
                <c:pt idx="10">
                  <c:v>107.9</c:v>
                </c:pt>
              </c:numCache>
            </c:numRef>
          </c:val>
        </c:ser>
        <c:dLbls>
          <c:showLegendKey val="0"/>
          <c:showVal val="0"/>
          <c:showCatName val="0"/>
          <c:showSerName val="0"/>
          <c:showPercent val="0"/>
          <c:showBubbleSize val="0"/>
        </c:dLbls>
        <c:gapWidth val="150"/>
        <c:axId val="141830784"/>
        <c:axId val="141832576"/>
      </c:barChart>
      <c:lineChart>
        <c:grouping val="standard"/>
        <c:varyColors val="0"/>
        <c:ser>
          <c:idx val="2"/>
          <c:order val="0"/>
          <c:tx>
            <c:strRef>
              <c:f>Zatrudnienie!$A$34</c:f>
              <c:strCache>
                <c:ptCount val="1"/>
                <c:pt idx="0">
                  <c:v>Zatrudnienie</c:v>
                </c:pt>
              </c:strCache>
            </c:strRef>
          </c:tx>
          <c:marker>
            <c:symbol val="none"/>
          </c:marker>
          <c:cat>
            <c:numRef>
              <c:f>Zatrudnienie!$B$32:$L$32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Zatrudnienie!$B$34:$L$34</c:f>
              <c:numCache>
                <c:formatCode>#,##0</c:formatCode>
                <c:ptCount val="11"/>
                <c:pt idx="0">
                  <c:v>5970</c:v>
                </c:pt>
                <c:pt idx="1">
                  <c:v>5910</c:v>
                </c:pt>
                <c:pt idx="2">
                  <c:v>6040</c:v>
                </c:pt>
                <c:pt idx="3">
                  <c:v>6140</c:v>
                </c:pt>
                <c:pt idx="4">
                  <c:v>5770</c:v>
                </c:pt>
                <c:pt idx="5">
                  <c:v>5790</c:v>
                </c:pt>
                <c:pt idx="6">
                  <c:v>5920</c:v>
                </c:pt>
                <c:pt idx="7">
                  <c:v>5880</c:v>
                </c:pt>
                <c:pt idx="8">
                  <c:v>6230</c:v>
                </c:pt>
                <c:pt idx="9">
                  <c:v>5960</c:v>
                </c:pt>
                <c:pt idx="10">
                  <c:v>5680</c:v>
                </c:pt>
              </c:numCache>
            </c:numRef>
          </c:val>
          <c:smooth val="0"/>
        </c:ser>
        <c:dLbls>
          <c:showLegendKey val="0"/>
          <c:showVal val="0"/>
          <c:showCatName val="0"/>
          <c:showSerName val="0"/>
          <c:showPercent val="0"/>
          <c:showBubbleSize val="0"/>
        </c:dLbls>
        <c:marker val="1"/>
        <c:smooth val="0"/>
        <c:axId val="141835648"/>
        <c:axId val="141834112"/>
      </c:lineChart>
      <c:catAx>
        <c:axId val="141830784"/>
        <c:scaling>
          <c:orientation val="minMax"/>
        </c:scaling>
        <c:delete val="0"/>
        <c:axPos val="b"/>
        <c:numFmt formatCode="General" sourceLinked="1"/>
        <c:majorTickMark val="out"/>
        <c:minorTickMark val="none"/>
        <c:tickLblPos val="nextTo"/>
        <c:crossAx val="141832576"/>
        <c:crosses val="autoZero"/>
        <c:auto val="1"/>
        <c:lblAlgn val="ctr"/>
        <c:lblOffset val="100"/>
        <c:noMultiLvlLbl val="0"/>
      </c:catAx>
      <c:valAx>
        <c:axId val="141832576"/>
        <c:scaling>
          <c:orientation val="minMax"/>
          <c:min val="100"/>
        </c:scaling>
        <c:delete val="0"/>
        <c:axPos val="l"/>
        <c:majorGridlines/>
        <c:numFmt formatCode="#,##0.0" sourceLinked="1"/>
        <c:majorTickMark val="out"/>
        <c:minorTickMark val="none"/>
        <c:tickLblPos val="nextTo"/>
        <c:crossAx val="141830784"/>
        <c:crosses val="autoZero"/>
        <c:crossBetween val="between"/>
      </c:valAx>
      <c:valAx>
        <c:axId val="141834112"/>
        <c:scaling>
          <c:orientation val="minMax"/>
        </c:scaling>
        <c:delete val="0"/>
        <c:axPos val="r"/>
        <c:numFmt formatCode="#,##0" sourceLinked="1"/>
        <c:majorTickMark val="out"/>
        <c:minorTickMark val="none"/>
        <c:tickLblPos val="nextTo"/>
        <c:crossAx val="141835648"/>
        <c:crosses val="max"/>
        <c:crossBetween val="between"/>
      </c:valAx>
      <c:catAx>
        <c:axId val="141835648"/>
        <c:scaling>
          <c:orientation val="minMax"/>
        </c:scaling>
        <c:delete val="1"/>
        <c:axPos val="b"/>
        <c:numFmt formatCode="General" sourceLinked="1"/>
        <c:majorTickMark val="out"/>
        <c:minorTickMark val="none"/>
        <c:tickLblPos val="none"/>
        <c:crossAx val="141834112"/>
        <c:crosses val="autoZero"/>
        <c:auto val="1"/>
        <c:lblAlgn val="ctr"/>
        <c:lblOffset val="100"/>
        <c:noMultiLvlLbl val="0"/>
      </c:catAx>
    </c:plotArea>
    <c:legend>
      <c:legendPos val="b"/>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13493320327346"/>
          <c:y val="6.1112156118973714E-2"/>
          <c:w val="0.63513142666953337"/>
          <c:h val="0.66843398203761506"/>
        </c:manualLayout>
      </c:layout>
      <c:barChart>
        <c:barDir val="col"/>
        <c:grouping val="clustered"/>
        <c:varyColors val="0"/>
        <c:ser>
          <c:idx val="3"/>
          <c:order val="1"/>
          <c:tx>
            <c:strRef>
              <c:f>Zatrudnienie!$A$63</c:f>
              <c:strCache>
                <c:ptCount val="1"/>
                <c:pt idx="0">
                  <c:v>Tytuły</c:v>
                </c:pt>
              </c:strCache>
            </c:strRef>
          </c:tx>
          <c:spPr>
            <a:solidFill>
              <a:srgbClr val="FF0000"/>
            </a:solidFill>
          </c:spPr>
          <c:invertIfNegative val="0"/>
          <c:cat>
            <c:numRef>
              <c:f>Zatrudnienie!$B$60:$L$60</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Zatrudnienie!$B$63:$L$63</c:f>
              <c:numCache>
                <c:formatCode>#,##0</c:formatCode>
                <c:ptCount val="11"/>
                <c:pt idx="0">
                  <c:v>22960</c:v>
                </c:pt>
                <c:pt idx="1">
                  <c:v>22430</c:v>
                </c:pt>
                <c:pt idx="2">
                  <c:v>20890</c:v>
                </c:pt>
                <c:pt idx="3">
                  <c:v>20560</c:v>
                </c:pt>
                <c:pt idx="4">
                  <c:v>19920</c:v>
                </c:pt>
                <c:pt idx="5">
                  <c:v>21810</c:v>
                </c:pt>
                <c:pt idx="6">
                  <c:v>21740</c:v>
                </c:pt>
                <c:pt idx="7">
                  <c:v>22460</c:v>
                </c:pt>
                <c:pt idx="8">
                  <c:v>24380</c:v>
                </c:pt>
                <c:pt idx="9">
                  <c:v>24920</c:v>
                </c:pt>
                <c:pt idx="10">
                  <c:v>27060</c:v>
                </c:pt>
              </c:numCache>
            </c:numRef>
          </c:val>
        </c:ser>
        <c:dLbls>
          <c:showLegendKey val="0"/>
          <c:showVal val="0"/>
          <c:showCatName val="0"/>
          <c:showSerName val="0"/>
          <c:showPercent val="0"/>
          <c:showBubbleSize val="0"/>
        </c:dLbls>
        <c:gapWidth val="150"/>
        <c:axId val="141866880"/>
        <c:axId val="141868416"/>
      </c:barChart>
      <c:lineChart>
        <c:grouping val="standard"/>
        <c:varyColors val="0"/>
        <c:ser>
          <c:idx val="2"/>
          <c:order val="0"/>
          <c:tx>
            <c:strRef>
              <c:f>Zatrudnienie!$A$62</c:f>
              <c:strCache>
                <c:ptCount val="1"/>
                <c:pt idx="0">
                  <c:v>Zatrudnienie</c:v>
                </c:pt>
              </c:strCache>
            </c:strRef>
          </c:tx>
          <c:marker>
            <c:symbol val="none"/>
          </c:marker>
          <c:cat>
            <c:numRef>
              <c:f>Zatrudnienie!$B$60:$L$60</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Zatrudnienie!$B$62:$L$62</c:f>
              <c:numCache>
                <c:formatCode>#,##0</c:formatCode>
                <c:ptCount val="11"/>
                <c:pt idx="0">
                  <c:v>5970</c:v>
                </c:pt>
                <c:pt idx="1">
                  <c:v>5910</c:v>
                </c:pt>
                <c:pt idx="2">
                  <c:v>6040</c:v>
                </c:pt>
                <c:pt idx="3">
                  <c:v>6140</c:v>
                </c:pt>
                <c:pt idx="4">
                  <c:v>5770</c:v>
                </c:pt>
                <c:pt idx="5">
                  <c:v>5790</c:v>
                </c:pt>
                <c:pt idx="6">
                  <c:v>5920</c:v>
                </c:pt>
                <c:pt idx="7">
                  <c:v>5880</c:v>
                </c:pt>
                <c:pt idx="8">
                  <c:v>6230</c:v>
                </c:pt>
                <c:pt idx="9">
                  <c:v>5960</c:v>
                </c:pt>
                <c:pt idx="10">
                  <c:v>5680</c:v>
                </c:pt>
              </c:numCache>
            </c:numRef>
          </c:val>
          <c:smooth val="0"/>
        </c:ser>
        <c:dLbls>
          <c:showLegendKey val="0"/>
          <c:showVal val="0"/>
          <c:showCatName val="0"/>
          <c:showSerName val="0"/>
          <c:showPercent val="0"/>
          <c:showBubbleSize val="0"/>
        </c:dLbls>
        <c:marker val="1"/>
        <c:smooth val="0"/>
        <c:axId val="141875840"/>
        <c:axId val="141874304"/>
      </c:lineChart>
      <c:catAx>
        <c:axId val="141866880"/>
        <c:scaling>
          <c:orientation val="minMax"/>
        </c:scaling>
        <c:delete val="0"/>
        <c:axPos val="b"/>
        <c:numFmt formatCode="General" sourceLinked="1"/>
        <c:majorTickMark val="out"/>
        <c:minorTickMark val="none"/>
        <c:tickLblPos val="nextTo"/>
        <c:crossAx val="141868416"/>
        <c:crosses val="autoZero"/>
        <c:auto val="1"/>
        <c:lblAlgn val="ctr"/>
        <c:lblOffset val="100"/>
        <c:noMultiLvlLbl val="0"/>
      </c:catAx>
      <c:valAx>
        <c:axId val="141868416"/>
        <c:scaling>
          <c:orientation val="minMax"/>
          <c:min val="15000"/>
        </c:scaling>
        <c:delete val="0"/>
        <c:axPos val="l"/>
        <c:majorGridlines/>
        <c:numFmt formatCode="#,##0" sourceLinked="1"/>
        <c:majorTickMark val="out"/>
        <c:minorTickMark val="none"/>
        <c:tickLblPos val="nextTo"/>
        <c:crossAx val="141866880"/>
        <c:crosses val="autoZero"/>
        <c:crossBetween val="between"/>
      </c:valAx>
      <c:valAx>
        <c:axId val="141874304"/>
        <c:scaling>
          <c:orientation val="minMax"/>
        </c:scaling>
        <c:delete val="0"/>
        <c:axPos val="r"/>
        <c:numFmt formatCode="#,##0" sourceLinked="1"/>
        <c:majorTickMark val="out"/>
        <c:minorTickMark val="none"/>
        <c:tickLblPos val="nextTo"/>
        <c:crossAx val="141875840"/>
        <c:crosses val="max"/>
        <c:crossBetween val="between"/>
      </c:valAx>
      <c:catAx>
        <c:axId val="141875840"/>
        <c:scaling>
          <c:orientation val="minMax"/>
        </c:scaling>
        <c:delete val="1"/>
        <c:axPos val="b"/>
        <c:numFmt formatCode="General" sourceLinked="1"/>
        <c:majorTickMark val="out"/>
        <c:minorTickMark val="none"/>
        <c:tickLblPos val="none"/>
        <c:crossAx val="141874304"/>
        <c:crosses val="autoZero"/>
        <c:auto val="1"/>
        <c:lblAlgn val="ctr"/>
        <c:lblOffset val="100"/>
        <c:noMultiLvlLbl val="0"/>
      </c:catAx>
    </c:plotArea>
    <c:legend>
      <c:legendPos val="b"/>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0.06541</cdr:y>
    </cdr:from>
    <cdr:to>
      <cdr:x>0.06499</cdr:x>
      <cdr:y>0.44407</cdr:y>
    </cdr:to>
    <cdr:sp macro="" textlink="">
      <cdr:nvSpPr>
        <cdr:cNvPr id="2" name="pole tekstowe 1"/>
        <cdr:cNvSpPr txBox="1"/>
      </cdr:nvSpPr>
      <cdr:spPr>
        <a:xfrm xmlns:a="http://schemas.openxmlformats.org/drawingml/2006/main">
          <a:off x="0" y="170719"/>
          <a:ext cx="334895" cy="988229"/>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pl-PL" sz="1100" b="1" i="0" baseline="0"/>
            <a:t>liczba tytułów</a:t>
          </a:r>
        </a:p>
      </cdr:txBody>
    </cdr:sp>
  </cdr:relSizeAnchor>
  <cdr:relSizeAnchor xmlns:cdr="http://schemas.openxmlformats.org/drawingml/2006/chartDrawing">
    <cdr:from>
      <cdr:x>0</cdr:x>
      <cdr:y>0</cdr:y>
    </cdr:from>
    <cdr:to>
      <cdr:x>0.00462</cdr:x>
      <cdr:y>0.00889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0.00462</cdr:x>
      <cdr:y>0.00889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0.93682</cdr:x>
      <cdr:y>0.05556</cdr:y>
    </cdr:from>
    <cdr:to>
      <cdr:x>0.99097</cdr:x>
      <cdr:y>0.74653</cdr:y>
    </cdr:to>
    <cdr:sp macro="" textlink="">
      <cdr:nvSpPr>
        <cdr:cNvPr id="5" name="pole tekstowe 4"/>
        <cdr:cNvSpPr txBox="1"/>
      </cdr:nvSpPr>
      <cdr:spPr>
        <a:xfrm xmlns:a="http://schemas.openxmlformats.org/drawingml/2006/main">
          <a:off x="4943475" y="152400"/>
          <a:ext cx="285750" cy="1895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0.92662</cdr:x>
      <cdr:y>0.02852</cdr:y>
    </cdr:from>
    <cdr:to>
      <cdr:x>0.99659</cdr:x>
      <cdr:y>0.57851</cdr:y>
    </cdr:to>
    <cdr:sp macro="" textlink="">
      <cdr:nvSpPr>
        <cdr:cNvPr id="6" name="pole tekstowe 5"/>
        <cdr:cNvSpPr txBox="1"/>
      </cdr:nvSpPr>
      <cdr:spPr>
        <a:xfrm xmlns:a="http://schemas.openxmlformats.org/drawingml/2006/main">
          <a:off x="4774896" y="74428"/>
          <a:ext cx="360557" cy="1435395"/>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pl-PL" sz="1100" b="1"/>
            <a:t> nakłady [mln  </a:t>
          </a:r>
          <a:r>
            <a:rPr lang="pl-PL" sz="1100" b="1" i="0" baseline="0"/>
            <a:t>egz.]</a:t>
          </a:r>
        </a:p>
      </cdr:txBody>
    </cdr:sp>
  </cdr:relSizeAnchor>
</c:userShapes>
</file>

<file path=word/drawings/drawing10.xml><?xml version="1.0" encoding="utf-8"?>
<c:userShapes xmlns:c="http://schemas.openxmlformats.org/drawingml/2006/chart">
  <cdr:relSizeAnchor xmlns:cdr="http://schemas.openxmlformats.org/drawingml/2006/chartDrawing">
    <cdr:from>
      <cdr:x>0.91203</cdr:x>
      <cdr:y>0.07507</cdr:y>
    </cdr:from>
    <cdr:to>
      <cdr:x>1</cdr:x>
      <cdr:y>0.54849</cdr:y>
    </cdr:to>
    <cdr:sp macro="" textlink="">
      <cdr:nvSpPr>
        <cdr:cNvPr id="2" name="pole tekstowe 1"/>
        <cdr:cNvSpPr txBox="1"/>
      </cdr:nvSpPr>
      <cdr:spPr>
        <a:xfrm xmlns:a="http://schemas.openxmlformats.org/drawingml/2006/main">
          <a:off x="4988595" y="244549"/>
          <a:ext cx="480970" cy="1542187"/>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baseline="0"/>
            <a:t>sprzedaż  [w mln zł]</a:t>
          </a:r>
          <a:endParaRPr lang="pl-PL"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0.93084</cdr:x>
      <cdr:y>0.03546</cdr:y>
    </cdr:from>
    <cdr:to>
      <cdr:x>1</cdr:x>
      <cdr:y>0.60426</cdr:y>
    </cdr:to>
    <cdr:sp macro="" textlink="">
      <cdr:nvSpPr>
        <cdr:cNvPr id="2" name="pole tekstowe 1"/>
        <cdr:cNvSpPr txBox="1"/>
      </cdr:nvSpPr>
      <cdr:spPr>
        <a:xfrm xmlns:a="http://schemas.openxmlformats.org/drawingml/2006/main">
          <a:off x="4517232" y="88605"/>
          <a:ext cx="335645" cy="1421218"/>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i="0" baseline="0"/>
            <a:t>nakłady [w mln egz.]</a:t>
          </a:r>
        </a:p>
      </cdr:txBody>
    </cdr:sp>
  </cdr:relSizeAnchor>
  <cdr:relSizeAnchor xmlns:cdr="http://schemas.openxmlformats.org/drawingml/2006/chartDrawing">
    <cdr:from>
      <cdr:x>0</cdr:x>
      <cdr:y>0</cdr:y>
    </cdr:from>
    <cdr:to>
      <cdr:x>0.06901</cdr:x>
      <cdr:y>0.3955</cdr:y>
    </cdr:to>
    <cdr:sp macro="" textlink="">
      <cdr:nvSpPr>
        <cdr:cNvPr id="4" name="pole tekstowe 1"/>
        <cdr:cNvSpPr txBox="1"/>
      </cdr:nvSpPr>
      <cdr:spPr>
        <a:xfrm xmlns:a="http://schemas.openxmlformats.org/drawingml/2006/main">
          <a:off x="0" y="0"/>
          <a:ext cx="334895" cy="988229"/>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i="0" baseline="0"/>
            <a:t>liczba tytułów</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0.00462</cdr:x>
      <cdr:y>0.00889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0.00462</cdr:x>
      <cdr:y>0.00889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0.93682</cdr:x>
      <cdr:y>0.05556</cdr:y>
    </cdr:from>
    <cdr:to>
      <cdr:x>0.99097</cdr:x>
      <cdr:y>0.74653</cdr:y>
    </cdr:to>
    <cdr:sp macro="" textlink="">
      <cdr:nvSpPr>
        <cdr:cNvPr id="5" name="pole tekstowe 4"/>
        <cdr:cNvSpPr txBox="1"/>
      </cdr:nvSpPr>
      <cdr:spPr>
        <a:xfrm xmlns:a="http://schemas.openxmlformats.org/drawingml/2006/main">
          <a:off x="4943475" y="152400"/>
          <a:ext cx="285750" cy="1895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pl-PL" sz="1100"/>
        </a:p>
      </cdr:txBody>
    </cdr:sp>
  </cdr:relSizeAnchor>
  <cdr:relSizeAnchor xmlns:cdr="http://schemas.openxmlformats.org/drawingml/2006/chartDrawing">
    <cdr:from>
      <cdr:x>0</cdr:x>
      <cdr:y>0</cdr:y>
    </cdr:from>
    <cdr:to>
      <cdr:x>0.07012</cdr:x>
      <cdr:y>0.43342</cdr:y>
    </cdr:to>
    <cdr:sp macro="" textlink="">
      <cdr:nvSpPr>
        <cdr:cNvPr id="7" name="pole tekstowe 1"/>
        <cdr:cNvSpPr txBox="1"/>
      </cdr:nvSpPr>
      <cdr:spPr>
        <a:xfrm xmlns:a="http://schemas.openxmlformats.org/drawingml/2006/main">
          <a:off x="0" y="0"/>
          <a:ext cx="334895" cy="988229"/>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i="0" baseline="0"/>
            <a:t>liczba tytułów</a:t>
          </a:r>
        </a:p>
      </cdr:txBody>
    </cdr:sp>
  </cdr:relSizeAnchor>
  <cdr:relSizeAnchor xmlns:cdr="http://schemas.openxmlformats.org/drawingml/2006/chartDrawing">
    <cdr:from>
      <cdr:x>0.92973</cdr:x>
      <cdr:y>0</cdr:y>
    </cdr:from>
    <cdr:to>
      <cdr:x>1</cdr:x>
      <cdr:y>0.62332</cdr:y>
    </cdr:to>
    <cdr:sp macro="" textlink="">
      <cdr:nvSpPr>
        <cdr:cNvPr id="8" name="pole tekstowe 1"/>
        <cdr:cNvSpPr txBox="1"/>
      </cdr:nvSpPr>
      <cdr:spPr>
        <a:xfrm xmlns:a="http://schemas.openxmlformats.org/drawingml/2006/main">
          <a:off x="4976037" y="-159488"/>
          <a:ext cx="335645" cy="1421218"/>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i="0" baseline="0"/>
            <a:t>nakłady [w mln egz.]</a:t>
          </a:r>
        </a:p>
      </cdr:txBody>
    </cdr:sp>
  </cdr:relSizeAnchor>
</c:userShapes>
</file>

<file path=word/drawings/drawing4.xml><?xml version="1.0" encoding="utf-8"?>
<c:userShapes xmlns:c="http://schemas.openxmlformats.org/drawingml/2006/chart">
  <cdr:relSizeAnchor xmlns:cdr="http://schemas.openxmlformats.org/drawingml/2006/chartDrawing">
    <cdr:from>
      <cdr:x>0.65031</cdr:x>
      <cdr:y>0.7777</cdr:y>
    </cdr:from>
    <cdr:to>
      <cdr:x>0.99977</cdr:x>
      <cdr:y>0.85185</cdr:y>
    </cdr:to>
    <cdr:sp macro="" textlink="">
      <cdr:nvSpPr>
        <cdr:cNvPr id="2" name="pole tekstowe 1"/>
        <cdr:cNvSpPr txBox="1"/>
      </cdr:nvSpPr>
      <cdr:spPr>
        <a:xfrm xmlns:a="http://schemas.openxmlformats.org/drawingml/2006/main">
          <a:off x="3596020" y="2753557"/>
          <a:ext cx="1932423" cy="26253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l-PL" sz="1100" b="1"/>
            <a:t>                średni nakład [egz.]</a:t>
          </a:r>
        </a:p>
      </cdr:txBody>
    </cdr:sp>
  </cdr:relSizeAnchor>
  <cdr:relSizeAnchor xmlns:cdr="http://schemas.openxmlformats.org/drawingml/2006/chartDrawing">
    <cdr:from>
      <cdr:x>0</cdr:x>
      <cdr:y>0.03722</cdr:y>
    </cdr:from>
    <cdr:to>
      <cdr:x>0.09136</cdr:x>
      <cdr:y>0.42669</cdr:y>
    </cdr:to>
    <cdr:sp macro="" textlink="">
      <cdr:nvSpPr>
        <cdr:cNvPr id="3" name="pole tekstowe 1"/>
        <cdr:cNvSpPr txBox="1"/>
      </cdr:nvSpPr>
      <cdr:spPr>
        <a:xfrm xmlns:a="http://schemas.openxmlformats.org/drawingml/2006/main">
          <a:off x="0" y="119126"/>
          <a:ext cx="562841" cy="1246535"/>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a:t>sprzedaż</a:t>
          </a:r>
          <a:r>
            <a:rPr lang="pl-PL" sz="1100" b="1" baseline="0"/>
            <a:t> [w mln zł]</a:t>
          </a:r>
          <a:endParaRPr lang="pl-PL" sz="1100" b="1"/>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0.08315</cdr:x>
      <cdr:y>0.35112</cdr:y>
    </cdr:to>
    <cdr:sp macro="" textlink="">
      <cdr:nvSpPr>
        <cdr:cNvPr id="2" name="pole tekstowe 1"/>
        <cdr:cNvSpPr txBox="1"/>
      </cdr:nvSpPr>
      <cdr:spPr>
        <a:xfrm xmlns:a="http://schemas.openxmlformats.org/drawingml/2006/main">
          <a:off x="0" y="0"/>
          <a:ext cx="416885" cy="850604"/>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a:t>zatrudnienie</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0.08632</cdr:x>
      <cdr:y>0.62898</cdr:y>
    </cdr:to>
    <cdr:sp macro="" textlink="">
      <cdr:nvSpPr>
        <cdr:cNvPr id="2" name="pole tekstowe 1"/>
        <cdr:cNvSpPr txBox="1"/>
      </cdr:nvSpPr>
      <cdr:spPr>
        <a:xfrm xmlns:a="http://schemas.openxmlformats.org/drawingml/2006/main">
          <a:off x="0" y="0"/>
          <a:ext cx="428967" cy="1446028"/>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a:t>produkcja [w mln egz.] </a:t>
          </a:r>
        </a:p>
      </cdr:txBody>
    </cdr:sp>
  </cdr:relSizeAnchor>
  <cdr:relSizeAnchor xmlns:cdr="http://schemas.openxmlformats.org/drawingml/2006/chartDrawing">
    <cdr:from>
      <cdr:x>0.91569</cdr:x>
      <cdr:y>0</cdr:y>
    </cdr:from>
    <cdr:to>
      <cdr:x>0.99958</cdr:x>
      <cdr:y>0.46711</cdr:y>
    </cdr:to>
    <cdr:sp macro="" textlink="">
      <cdr:nvSpPr>
        <cdr:cNvPr id="3" name="pole tekstowe 1"/>
        <cdr:cNvSpPr txBox="1"/>
      </cdr:nvSpPr>
      <cdr:spPr>
        <a:xfrm xmlns:a="http://schemas.openxmlformats.org/drawingml/2006/main">
          <a:off x="4550410" y="-170121"/>
          <a:ext cx="416885" cy="1073888"/>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a:t>zatrudnienie</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0.08887</cdr:x>
      <cdr:y>0.46544</cdr:y>
    </cdr:to>
    <cdr:sp macro="" textlink="">
      <cdr:nvSpPr>
        <cdr:cNvPr id="2" name="pole tekstowe 1"/>
        <cdr:cNvSpPr txBox="1"/>
      </cdr:nvSpPr>
      <cdr:spPr>
        <a:xfrm xmlns:a="http://schemas.openxmlformats.org/drawingml/2006/main">
          <a:off x="0" y="0"/>
          <a:ext cx="416885" cy="1073888"/>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a:t>liczba tytułów</a:t>
          </a:r>
        </a:p>
      </cdr:txBody>
    </cdr:sp>
  </cdr:relSizeAnchor>
  <cdr:relSizeAnchor xmlns:cdr="http://schemas.openxmlformats.org/drawingml/2006/chartDrawing">
    <cdr:from>
      <cdr:x>0.91661</cdr:x>
      <cdr:y>0</cdr:y>
    </cdr:from>
    <cdr:to>
      <cdr:x>1</cdr:x>
      <cdr:y>0.46544</cdr:y>
    </cdr:to>
    <cdr:sp macro="" textlink="">
      <cdr:nvSpPr>
        <cdr:cNvPr id="3" name="pole tekstowe 1"/>
        <cdr:cNvSpPr txBox="1"/>
      </cdr:nvSpPr>
      <cdr:spPr>
        <a:xfrm xmlns:a="http://schemas.openxmlformats.org/drawingml/2006/main">
          <a:off x="4583105" y="0"/>
          <a:ext cx="416885" cy="1073888"/>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a:t>zatrudnienie</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0.07934</cdr:x>
      <cdr:y>0.44186</cdr:y>
    </cdr:to>
    <cdr:sp macro="" textlink="">
      <cdr:nvSpPr>
        <cdr:cNvPr id="2" name="pole tekstowe 1"/>
        <cdr:cNvSpPr txBox="1"/>
      </cdr:nvSpPr>
      <cdr:spPr>
        <a:xfrm xmlns:a="http://schemas.openxmlformats.org/drawingml/2006/main">
          <a:off x="0" y="0"/>
          <a:ext cx="416885" cy="1212111"/>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a:t>sprzedaż</a:t>
          </a:r>
          <a:r>
            <a:rPr lang="pl-PL" sz="1100" b="1" baseline="0"/>
            <a:t> [w mln zł]</a:t>
          </a:r>
          <a:endParaRPr lang="pl-PL" sz="1100" b="1"/>
        </a:p>
      </cdr:txBody>
    </cdr:sp>
  </cdr:relSizeAnchor>
  <cdr:relSizeAnchor xmlns:cdr="http://schemas.openxmlformats.org/drawingml/2006/chartDrawing">
    <cdr:from>
      <cdr:x>0.9206</cdr:x>
      <cdr:y>3.64538E-7</cdr:y>
    </cdr:from>
    <cdr:to>
      <cdr:x>0.99994</cdr:x>
      <cdr:y>0.39147</cdr:y>
    </cdr:to>
    <cdr:sp macro="" textlink="">
      <cdr:nvSpPr>
        <cdr:cNvPr id="3" name="pole tekstowe 1"/>
        <cdr:cNvSpPr txBox="1"/>
      </cdr:nvSpPr>
      <cdr:spPr>
        <a:xfrm xmlns:a="http://schemas.openxmlformats.org/drawingml/2006/main">
          <a:off x="4837489" y="1"/>
          <a:ext cx="416885" cy="1073888"/>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a:t>zatrudnienie</a:t>
          </a:r>
        </a:p>
      </cdr:txBody>
    </cdr:sp>
  </cdr:relSizeAnchor>
</c:userShapes>
</file>

<file path=word/drawings/drawing9.xml><?xml version="1.0" encoding="utf-8"?>
<c:userShapes xmlns:c="http://schemas.openxmlformats.org/drawingml/2006/chart">
  <cdr:relSizeAnchor xmlns:cdr="http://schemas.openxmlformats.org/drawingml/2006/chartDrawing">
    <cdr:from>
      <cdr:x>0.91414</cdr:x>
      <cdr:y>0</cdr:y>
    </cdr:from>
    <cdr:to>
      <cdr:x>0.99946</cdr:x>
      <cdr:y>0.52552</cdr:y>
    </cdr:to>
    <cdr:sp macro="" textlink="">
      <cdr:nvSpPr>
        <cdr:cNvPr id="2" name="pole tekstowe 1"/>
        <cdr:cNvSpPr txBox="1"/>
      </cdr:nvSpPr>
      <cdr:spPr>
        <a:xfrm xmlns:a="http://schemas.openxmlformats.org/drawingml/2006/main">
          <a:off x="4466782" y="0"/>
          <a:ext cx="416885" cy="1541721"/>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baseline="0"/>
            <a:t>sprzedaż  [w mln zł]</a:t>
          </a:r>
          <a:endParaRPr lang="pl-PL" sz="1100" b="1"/>
        </a:p>
      </cdr:txBody>
    </cdr:sp>
  </cdr:relSizeAnchor>
  <cdr:relSizeAnchor xmlns:cdr="http://schemas.openxmlformats.org/drawingml/2006/chartDrawing">
    <cdr:from>
      <cdr:x>0</cdr:x>
      <cdr:y>0</cdr:y>
    </cdr:from>
    <cdr:to>
      <cdr:x>0.08532</cdr:x>
      <cdr:y>0.52552</cdr:y>
    </cdr:to>
    <cdr:sp macro="" textlink="">
      <cdr:nvSpPr>
        <cdr:cNvPr id="3" name="pole tekstowe 1"/>
        <cdr:cNvSpPr txBox="1"/>
      </cdr:nvSpPr>
      <cdr:spPr>
        <a:xfrm xmlns:a="http://schemas.openxmlformats.org/drawingml/2006/main">
          <a:off x="0" y="0"/>
          <a:ext cx="480970" cy="1542187"/>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100" b="1" baseline="0"/>
            <a:t>produkcja  [w mln egz]</a:t>
          </a:r>
          <a:endParaRPr lang="pl-PL"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523322-1959-4E28-99A4-3EBB979E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8301</Words>
  <Characters>49806</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
    </vt:vector>
  </TitlesOfParts>
  <Company>S.A.</Company>
  <LinksUpToDate>false</LinksUpToDate>
  <CharactersWithSpaces>57992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Jóźwiak</dc:creator>
  <cp:lastModifiedBy>user</cp:lastModifiedBy>
  <cp:revision>2</cp:revision>
  <cp:lastPrinted>2013-11-14T09:39:00Z</cp:lastPrinted>
  <dcterms:created xsi:type="dcterms:W3CDTF">2013-11-14T10:10:00Z</dcterms:created>
  <dcterms:modified xsi:type="dcterms:W3CDTF">2013-11-14T10:10:00Z</dcterms:modified>
</cp:coreProperties>
</file>